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0397" w14:textId="4522C750" w:rsidR="005431E4" w:rsidRPr="00255317" w:rsidRDefault="005431E4" w:rsidP="005431E4">
      <w:pPr>
        <w:jc w:val="center"/>
        <w:rPr>
          <w:rFonts w:asciiTheme="minorHAnsi" w:hAnsiTheme="minorHAnsi" w:cstheme="minorHAnsi"/>
          <w:b/>
          <w:bCs/>
        </w:rPr>
      </w:pPr>
      <w:r w:rsidRPr="00255317">
        <w:rPr>
          <w:rFonts w:asciiTheme="minorHAnsi" w:hAnsiTheme="minorHAnsi" w:cstheme="minorHAnsi"/>
          <w:noProof/>
        </w:rPr>
        <w:drawing>
          <wp:inline distT="0" distB="0" distL="0" distR="0" wp14:anchorId="187FC0E5" wp14:editId="54F2CC8E">
            <wp:extent cx="1696085" cy="798195"/>
            <wp:effectExtent l="0" t="0" r="0" b="0"/>
            <wp:docPr id="58994631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46315"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085" cy="798195"/>
                    </a:xfrm>
                    <a:prstGeom prst="rect">
                      <a:avLst/>
                    </a:prstGeom>
                    <a:noFill/>
                    <a:ln>
                      <a:noFill/>
                    </a:ln>
                  </pic:spPr>
                </pic:pic>
              </a:graphicData>
            </a:graphic>
          </wp:inline>
        </w:drawing>
      </w:r>
    </w:p>
    <w:p w14:paraId="22B518A9" w14:textId="5569F0E0" w:rsidR="005431E4" w:rsidRPr="00255317" w:rsidRDefault="00DA35A1">
      <w:pPr>
        <w:rPr>
          <w:rFonts w:asciiTheme="minorHAnsi" w:hAnsiTheme="minorHAnsi" w:cstheme="minorHAnsi"/>
          <w:b/>
          <w:bCs/>
        </w:rPr>
      </w:pPr>
      <w:r w:rsidRPr="00255317">
        <w:rPr>
          <w:rFonts w:asciiTheme="minorHAnsi" w:hAnsiTheme="minorHAnsi" w:cstheme="minorHAnsi"/>
          <w:b/>
          <w:bCs/>
          <w:noProof/>
        </w:rPr>
        <mc:AlternateContent>
          <mc:Choice Requires="wps">
            <w:drawing>
              <wp:anchor distT="0" distB="0" distL="114300" distR="114300" simplePos="0" relativeHeight="251658240" behindDoc="0" locked="0" layoutInCell="1" allowOverlap="1" wp14:anchorId="5DA0E9BC" wp14:editId="2F2C66A1">
                <wp:simplePos x="0" y="0"/>
                <wp:positionH relativeFrom="column">
                  <wp:posOffset>2540</wp:posOffset>
                </wp:positionH>
                <wp:positionV relativeFrom="paragraph">
                  <wp:posOffset>43180</wp:posOffset>
                </wp:positionV>
                <wp:extent cx="6877685" cy="5715"/>
                <wp:effectExtent l="12065" t="12700" r="6350" b="10160"/>
                <wp:wrapNone/>
                <wp:docPr id="13690318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685" cy="57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82DBD" id="_x0000_t32" coordsize="21600,21600" o:spt="32" o:oned="t" path="m,l21600,21600e" filled="f">
                <v:path arrowok="t" fillok="f" o:connecttype="none"/>
                <o:lock v:ext="edit" shapetype="t"/>
              </v:shapetype>
              <v:shape id="AutoShape 3" o:spid="_x0000_s1026" type="#_x0000_t32" style="position:absolute;margin-left:.2pt;margin-top:3.4pt;width:541.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"/>
            </w:pict>
          </mc:Fallback>
        </mc:AlternateContent>
      </w:r>
    </w:p>
    <w:p w14:paraId="79583B2C" w14:textId="77777777" w:rsidR="00E24DD8" w:rsidRPr="00255317" w:rsidRDefault="00E24DD8" w:rsidP="00E24DD8">
      <w:pPr>
        <w:spacing w:after="0"/>
        <w:jc w:val="center"/>
        <w:rPr>
          <w:rFonts w:asciiTheme="minorHAnsi" w:hAnsiTheme="minorHAnsi" w:cstheme="minorHAnsi"/>
          <w:b/>
          <w:bCs/>
        </w:rPr>
      </w:pPr>
      <w:r w:rsidRPr="00255317">
        <w:rPr>
          <w:rFonts w:asciiTheme="minorHAnsi" w:hAnsiTheme="minorHAnsi" w:cstheme="minorHAnsi"/>
          <w:b/>
          <w:bCs/>
        </w:rPr>
        <w:t>FACT SHEET FOR COMPLETION OF FACILITY-WIDE CORRECTIVE ACTION</w:t>
      </w:r>
    </w:p>
    <w:p w14:paraId="0FB7855C" w14:textId="77777777" w:rsidR="00E24DD8" w:rsidRPr="00255317" w:rsidRDefault="00E24DD8" w:rsidP="00E24DD8">
      <w:pPr>
        <w:spacing w:after="0"/>
        <w:jc w:val="center"/>
        <w:rPr>
          <w:rFonts w:asciiTheme="minorHAnsi" w:hAnsiTheme="minorHAnsi" w:cstheme="minorHAnsi"/>
          <w:b/>
          <w:bCs/>
        </w:rPr>
      </w:pPr>
    </w:p>
    <w:p w14:paraId="2D5002FA" w14:textId="071C7BBF" w:rsidR="00E24DD8" w:rsidRPr="00255317" w:rsidRDefault="00E24DD8" w:rsidP="00E24DD8">
      <w:pPr>
        <w:spacing w:after="0"/>
        <w:rPr>
          <w:rFonts w:asciiTheme="minorHAnsi" w:hAnsiTheme="minorHAnsi" w:cstheme="minorHAnsi"/>
          <w:b/>
          <w:bCs/>
        </w:rPr>
      </w:pPr>
      <w:r w:rsidRPr="00255317">
        <w:rPr>
          <w:rFonts w:asciiTheme="minorHAnsi" w:hAnsiTheme="minorHAnsi" w:cstheme="minorHAnsi"/>
          <w:b/>
          <w:bCs/>
        </w:rPr>
        <w:t>Loveland Products, Inc.</w:t>
      </w:r>
    </w:p>
    <w:p w14:paraId="603B09EC" w14:textId="03D0E1B4" w:rsidR="00F222C6" w:rsidRPr="00255317" w:rsidRDefault="00E24DD8" w:rsidP="00E24DD8">
      <w:pPr>
        <w:spacing w:after="0"/>
        <w:rPr>
          <w:rFonts w:asciiTheme="minorHAnsi" w:hAnsiTheme="minorHAnsi" w:cstheme="minorHAnsi"/>
          <w:b/>
          <w:bCs/>
        </w:rPr>
      </w:pPr>
      <w:r w:rsidRPr="00255317">
        <w:rPr>
          <w:rFonts w:asciiTheme="minorHAnsi" w:hAnsiTheme="minorHAnsi" w:cstheme="minorHAnsi"/>
          <w:b/>
          <w:bCs/>
        </w:rPr>
        <w:t>Billings, Montana</w:t>
      </w:r>
    </w:p>
    <w:p w14:paraId="0BE4CE66" w14:textId="77777777" w:rsidR="00E24DD8" w:rsidRPr="00255317" w:rsidRDefault="00E24DD8">
      <w:pPr>
        <w:rPr>
          <w:rFonts w:asciiTheme="minorHAnsi" w:hAnsiTheme="minorHAnsi" w:cstheme="minorHAnsi"/>
          <w:b/>
          <w:bCs/>
        </w:rPr>
      </w:pPr>
    </w:p>
    <w:p w14:paraId="066EC505" w14:textId="15F8FBE9"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Introduction</w:t>
      </w:r>
    </w:p>
    <w:p w14:paraId="3B431C44" w14:textId="1C0B10FB" w:rsidR="00F222C6" w:rsidRPr="00255317" w:rsidRDefault="00F222C6" w:rsidP="00AB5149">
      <w:pPr>
        <w:spacing w:after="200"/>
        <w:rPr>
          <w:rFonts w:asciiTheme="minorHAnsi" w:hAnsiTheme="minorHAnsi" w:cstheme="minorHAnsi"/>
        </w:rPr>
      </w:pPr>
      <w:r w:rsidRPr="00255317">
        <w:rPr>
          <w:rFonts w:asciiTheme="minorHAnsi" w:hAnsiTheme="minorHAnsi" w:cstheme="minorHAnsi"/>
        </w:rPr>
        <w:t>The Loveland Products, Inc. (LPI) facility is a former herbicide formulation plant located in Billings, Montana</w:t>
      </w:r>
      <w:r w:rsidR="00530C76" w:rsidRPr="00255317">
        <w:rPr>
          <w:rFonts w:asciiTheme="minorHAnsi" w:hAnsiTheme="minorHAnsi" w:cstheme="minorHAnsi"/>
        </w:rPr>
        <w:t xml:space="preserve">. </w:t>
      </w:r>
      <w:r w:rsidR="00F56AEE" w:rsidRPr="00255317">
        <w:rPr>
          <w:rFonts w:asciiTheme="minorHAnsi" w:hAnsiTheme="minorHAnsi" w:cstheme="minorHAnsi"/>
        </w:rPr>
        <w:t>Under oversight by the Mont</w:t>
      </w:r>
      <w:r w:rsidRPr="00255317">
        <w:rPr>
          <w:rFonts w:asciiTheme="minorHAnsi" w:hAnsiTheme="minorHAnsi" w:cstheme="minorHAnsi"/>
        </w:rPr>
        <w:t>ana Department of Environmental Quality (DEQ)</w:t>
      </w:r>
      <w:r w:rsidR="00F56AEE" w:rsidRPr="00255317">
        <w:rPr>
          <w:rFonts w:asciiTheme="minorHAnsi" w:hAnsiTheme="minorHAnsi" w:cstheme="minorHAnsi"/>
        </w:rPr>
        <w:t xml:space="preserve">, LPI conducted </w:t>
      </w:r>
      <w:r w:rsidR="00E24DD8" w:rsidRPr="00255317">
        <w:rPr>
          <w:rFonts w:asciiTheme="minorHAnsi" w:hAnsiTheme="minorHAnsi" w:cstheme="minorHAnsi"/>
        </w:rPr>
        <w:t>facility</w:t>
      </w:r>
      <w:r w:rsidR="00F56AEE" w:rsidRPr="00255317">
        <w:rPr>
          <w:rFonts w:asciiTheme="minorHAnsi" w:hAnsiTheme="minorHAnsi" w:cstheme="minorHAnsi"/>
        </w:rPr>
        <w:t xml:space="preserve">-wide corrective action </w:t>
      </w:r>
      <w:r w:rsidRPr="00255317">
        <w:rPr>
          <w:rFonts w:asciiTheme="minorHAnsi" w:hAnsiTheme="minorHAnsi" w:cstheme="minorHAnsi"/>
        </w:rPr>
        <w:t xml:space="preserve">pursuant to </w:t>
      </w:r>
      <w:r w:rsidR="00E24DD8" w:rsidRPr="00255317">
        <w:rPr>
          <w:rFonts w:asciiTheme="minorHAnsi" w:hAnsiTheme="minorHAnsi" w:cstheme="minorHAnsi"/>
        </w:rPr>
        <w:t xml:space="preserve">requirements under the </w:t>
      </w:r>
      <w:r w:rsidR="00094787">
        <w:rPr>
          <w:rFonts w:asciiTheme="minorHAnsi" w:hAnsiTheme="minorHAnsi" w:cstheme="minorHAnsi"/>
        </w:rPr>
        <w:t>Montana Hazardous Waste Act</w:t>
      </w:r>
      <w:r w:rsidRPr="00255317">
        <w:rPr>
          <w:rFonts w:asciiTheme="minorHAnsi" w:hAnsiTheme="minorHAnsi" w:cstheme="minorHAnsi"/>
        </w:rPr>
        <w:t xml:space="preserve">. </w:t>
      </w:r>
      <w:r w:rsidR="00E24DD8" w:rsidRPr="00255317">
        <w:rPr>
          <w:rFonts w:asciiTheme="minorHAnsi" w:hAnsiTheme="minorHAnsi" w:cstheme="minorHAnsi"/>
        </w:rPr>
        <w:t>Facility</w:t>
      </w:r>
      <w:r w:rsidRPr="00255317">
        <w:rPr>
          <w:rFonts w:asciiTheme="minorHAnsi" w:hAnsiTheme="minorHAnsi" w:cstheme="minorHAnsi"/>
        </w:rPr>
        <w:t>-wide corrective action addresse</w:t>
      </w:r>
      <w:r w:rsidR="0042243E" w:rsidRPr="00255317">
        <w:rPr>
          <w:rFonts w:asciiTheme="minorHAnsi" w:hAnsiTheme="minorHAnsi" w:cstheme="minorHAnsi"/>
        </w:rPr>
        <w:t>s</w:t>
      </w:r>
      <w:r w:rsidRPr="00255317">
        <w:rPr>
          <w:rFonts w:asciiTheme="minorHAnsi" w:hAnsiTheme="minorHAnsi" w:cstheme="minorHAnsi"/>
        </w:rPr>
        <w:t xml:space="preserve"> </w:t>
      </w:r>
      <w:r w:rsidR="00F56AEE" w:rsidRPr="00255317">
        <w:rPr>
          <w:rFonts w:asciiTheme="minorHAnsi" w:hAnsiTheme="minorHAnsi" w:cstheme="minorHAnsi"/>
        </w:rPr>
        <w:t xml:space="preserve">cleanup of </w:t>
      </w:r>
      <w:r w:rsidRPr="00255317">
        <w:rPr>
          <w:rFonts w:asciiTheme="minorHAnsi" w:hAnsiTheme="minorHAnsi" w:cstheme="minorHAnsi"/>
        </w:rPr>
        <w:t>releases of hazardous constituents from the facility to ensure protection of human health and the environment.</w:t>
      </w:r>
    </w:p>
    <w:p w14:paraId="56A6189B" w14:textId="77777777"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Site Location</w:t>
      </w:r>
    </w:p>
    <w:p w14:paraId="61C5454B" w14:textId="020A897C" w:rsidR="00F222C6" w:rsidRPr="00255317" w:rsidRDefault="00F222C6" w:rsidP="00AB5149">
      <w:pPr>
        <w:spacing w:after="200"/>
        <w:rPr>
          <w:rFonts w:asciiTheme="minorHAnsi" w:hAnsiTheme="minorHAnsi" w:cstheme="minorHAnsi"/>
        </w:rPr>
      </w:pPr>
      <w:r w:rsidRPr="00255317">
        <w:rPr>
          <w:rFonts w:asciiTheme="minorHAnsi" w:hAnsiTheme="minorHAnsi" w:cstheme="minorHAnsi"/>
        </w:rPr>
        <w:t xml:space="preserve">The </w:t>
      </w:r>
      <w:r w:rsidR="00F56AEE" w:rsidRPr="00255317">
        <w:rPr>
          <w:rFonts w:asciiTheme="minorHAnsi" w:hAnsiTheme="minorHAnsi" w:cstheme="minorHAnsi"/>
        </w:rPr>
        <w:t xml:space="preserve">LPI </w:t>
      </w:r>
      <w:r w:rsidRPr="00255317">
        <w:rPr>
          <w:rFonts w:asciiTheme="minorHAnsi" w:hAnsiTheme="minorHAnsi" w:cstheme="minorHAnsi"/>
        </w:rPr>
        <w:t xml:space="preserve">facility is located </w:t>
      </w:r>
      <w:r w:rsidR="00F56AEE" w:rsidRPr="00255317">
        <w:rPr>
          <w:rFonts w:asciiTheme="minorHAnsi" w:hAnsiTheme="minorHAnsi" w:cstheme="minorHAnsi"/>
        </w:rPr>
        <w:t xml:space="preserve">at 1525 Lockwood Road, </w:t>
      </w:r>
      <w:r w:rsidRPr="00255317">
        <w:rPr>
          <w:rFonts w:asciiTheme="minorHAnsi" w:hAnsiTheme="minorHAnsi" w:cstheme="minorHAnsi"/>
        </w:rPr>
        <w:t xml:space="preserve">east of the City of Billings in the Lockwood area of Yellowstone County, Montana. The property encompasses </w:t>
      </w:r>
      <w:r w:rsidR="0042243E" w:rsidRPr="00255317">
        <w:rPr>
          <w:rFonts w:asciiTheme="minorHAnsi" w:hAnsiTheme="minorHAnsi" w:cstheme="minorHAnsi"/>
        </w:rPr>
        <w:t>approximately</w:t>
      </w:r>
      <w:r w:rsidRPr="00255317">
        <w:rPr>
          <w:rFonts w:asciiTheme="minorHAnsi" w:hAnsiTheme="minorHAnsi" w:cstheme="minorHAnsi"/>
        </w:rPr>
        <w:t xml:space="preserve"> 27 acres within Section 26, Township 1 North, Range 26 East, and the facility is zoned for heavy industrial use. </w:t>
      </w:r>
    </w:p>
    <w:p w14:paraId="4BC2681E" w14:textId="77777777"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Facility History</w:t>
      </w:r>
    </w:p>
    <w:p w14:paraId="57283B5F" w14:textId="77777777" w:rsidR="000F3316" w:rsidRPr="00255317" w:rsidRDefault="00F222C6">
      <w:pPr>
        <w:rPr>
          <w:rFonts w:asciiTheme="minorHAnsi" w:hAnsiTheme="minorHAnsi" w:cstheme="minorHAnsi"/>
        </w:rPr>
      </w:pPr>
      <w:r w:rsidRPr="00255317">
        <w:rPr>
          <w:rFonts w:asciiTheme="minorHAnsi" w:hAnsiTheme="minorHAnsi" w:cstheme="minorHAnsi"/>
        </w:rPr>
        <w:t xml:space="preserve">LPI operated an herbicide formulation plant at the site from 1975 to 2020, formulating products including 2,4-D, MCPA, MCPP, dicamba, glyphosate, and </w:t>
      </w:r>
      <w:proofErr w:type="spellStart"/>
      <w:r w:rsidRPr="00255317">
        <w:rPr>
          <w:rFonts w:asciiTheme="minorHAnsi" w:hAnsiTheme="minorHAnsi" w:cstheme="minorHAnsi"/>
        </w:rPr>
        <w:t>fluroxypyr</w:t>
      </w:r>
      <w:proofErr w:type="spellEnd"/>
      <w:r w:rsidRPr="00255317">
        <w:rPr>
          <w:rFonts w:asciiTheme="minorHAnsi" w:hAnsiTheme="minorHAnsi" w:cstheme="minorHAnsi"/>
        </w:rPr>
        <w:t xml:space="preserve">. The pesticide formulation activities were suspended in October 2020, and since that time the facility has been used to store and distribute pre-packaged and bulk agricultural products for industrial use. </w:t>
      </w:r>
    </w:p>
    <w:p w14:paraId="03B6A6CC" w14:textId="15F64713" w:rsidR="000F3316" w:rsidRPr="00255317" w:rsidRDefault="00F222C6" w:rsidP="00AB5149">
      <w:pPr>
        <w:spacing w:after="200"/>
        <w:rPr>
          <w:rFonts w:asciiTheme="minorHAnsi" w:hAnsiTheme="minorHAnsi" w:cstheme="minorHAnsi"/>
        </w:rPr>
      </w:pPr>
      <w:r w:rsidRPr="00255317">
        <w:rPr>
          <w:rFonts w:asciiTheme="minorHAnsi" w:hAnsiTheme="minorHAnsi" w:cstheme="minorHAnsi"/>
        </w:rPr>
        <w:t xml:space="preserve">Between 1979 and 1985, wastewater from </w:t>
      </w:r>
      <w:r w:rsidR="0042243E" w:rsidRPr="00255317">
        <w:rPr>
          <w:rFonts w:asciiTheme="minorHAnsi" w:hAnsiTheme="minorHAnsi" w:cstheme="minorHAnsi"/>
        </w:rPr>
        <w:t xml:space="preserve">2,4-D </w:t>
      </w:r>
      <w:r w:rsidRPr="00255317">
        <w:rPr>
          <w:rFonts w:asciiTheme="minorHAnsi" w:hAnsiTheme="minorHAnsi" w:cstheme="minorHAnsi"/>
        </w:rPr>
        <w:t xml:space="preserve">herbicide formulation was discharged to three on-site lined evaporation ponds, also referred to as the Surface Impoundment. </w:t>
      </w:r>
      <w:r w:rsidR="000F3316" w:rsidRPr="00255317">
        <w:rPr>
          <w:rFonts w:asciiTheme="minorHAnsi" w:hAnsiTheme="minorHAnsi" w:cstheme="minorHAnsi"/>
        </w:rPr>
        <w:t xml:space="preserve">The LPI facility needed a hazardous waste permit because the surface impoundments </w:t>
      </w:r>
      <w:r w:rsidR="0042243E" w:rsidRPr="00255317">
        <w:rPr>
          <w:rFonts w:asciiTheme="minorHAnsi" w:hAnsiTheme="minorHAnsi" w:cstheme="minorHAnsi"/>
        </w:rPr>
        <w:t>contained</w:t>
      </w:r>
      <w:r w:rsidR="000F3316" w:rsidRPr="00255317">
        <w:rPr>
          <w:rFonts w:asciiTheme="minorHAnsi" w:hAnsiTheme="minorHAnsi" w:cstheme="minorHAnsi"/>
        </w:rPr>
        <w:t xml:space="preserve"> 2,4-D</w:t>
      </w:r>
      <w:r w:rsidR="0042243E" w:rsidRPr="00255317">
        <w:rPr>
          <w:rFonts w:asciiTheme="minorHAnsi" w:hAnsiTheme="minorHAnsi" w:cstheme="minorHAnsi"/>
        </w:rPr>
        <w:t>, which</w:t>
      </w:r>
      <w:r w:rsidR="00E24DD8" w:rsidRPr="00255317">
        <w:rPr>
          <w:rFonts w:asciiTheme="minorHAnsi" w:hAnsiTheme="minorHAnsi" w:cstheme="minorHAnsi"/>
        </w:rPr>
        <w:t xml:space="preserve"> is</w:t>
      </w:r>
      <w:r w:rsidR="000F3316" w:rsidRPr="00255317">
        <w:rPr>
          <w:rFonts w:asciiTheme="minorHAnsi" w:hAnsiTheme="minorHAnsi" w:cstheme="minorHAnsi"/>
        </w:rPr>
        <w:t xml:space="preserve"> classified as hazardous waste. Hazardous waste permit requirements were later consolidated and ultimately replaced by a Corrective Action Order on Consent in 2015.</w:t>
      </w:r>
    </w:p>
    <w:p w14:paraId="59E8245B" w14:textId="07D9143A"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Site-Wide Contaminant Cleanup (Facility-Wide Corrective Action)</w:t>
      </w:r>
    </w:p>
    <w:p w14:paraId="39536A9D" w14:textId="50548D61" w:rsidR="00F222C6" w:rsidRPr="00255317" w:rsidRDefault="000F3316" w:rsidP="00AB5149">
      <w:pPr>
        <w:spacing w:after="200"/>
        <w:rPr>
          <w:rFonts w:asciiTheme="minorHAnsi" w:hAnsiTheme="minorHAnsi" w:cstheme="minorHAnsi"/>
        </w:rPr>
      </w:pPr>
      <w:r w:rsidRPr="00255317">
        <w:rPr>
          <w:rFonts w:asciiTheme="minorHAnsi" w:hAnsiTheme="minorHAnsi" w:cstheme="minorHAnsi"/>
        </w:rPr>
        <w:t xml:space="preserve">Hazardous waste permits require the facility to evaluate potential site-wide contamination from plant activities. </w:t>
      </w:r>
      <w:r w:rsidR="0093257B" w:rsidRPr="00255317">
        <w:rPr>
          <w:rFonts w:asciiTheme="minorHAnsi" w:hAnsiTheme="minorHAnsi" w:cstheme="minorHAnsi"/>
        </w:rPr>
        <w:t>These evaluations</w:t>
      </w:r>
      <w:r w:rsidR="00E0373C" w:rsidRPr="00255317">
        <w:rPr>
          <w:rFonts w:asciiTheme="minorHAnsi" w:hAnsiTheme="minorHAnsi" w:cstheme="minorHAnsi"/>
        </w:rPr>
        <w:t xml:space="preserve"> </w:t>
      </w:r>
      <w:r w:rsidR="0042243E" w:rsidRPr="00255317">
        <w:rPr>
          <w:rFonts w:asciiTheme="minorHAnsi" w:hAnsiTheme="minorHAnsi" w:cstheme="minorHAnsi"/>
        </w:rPr>
        <w:t xml:space="preserve">at LPI </w:t>
      </w:r>
      <w:r w:rsidR="00F222C6" w:rsidRPr="00255317">
        <w:rPr>
          <w:rFonts w:asciiTheme="minorHAnsi" w:hAnsiTheme="minorHAnsi" w:cstheme="minorHAnsi"/>
        </w:rPr>
        <w:t>determined that releases of hazardous waste or hazardous constituents had occurred at or from the facility and</w:t>
      </w:r>
      <w:r w:rsidR="0093257B" w:rsidRPr="00255317">
        <w:rPr>
          <w:rFonts w:asciiTheme="minorHAnsi" w:hAnsiTheme="minorHAnsi" w:cstheme="minorHAnsi"/>
        </w:rPr>
        <w:t>, therefore,</w:t>
      </w:r>
      <w:r w:rsidR="00F222C6" w:rsidRPr="00255317">
        <w:rPr>
          <w:rFonts w:asciiTheme="minorHAnsi" w:hAnsiTheme="minorHAnsi" w:cstheme="minorHAnsi"/>
        </w:rPr>
        <w:t xml:space="preserve"> facility-wide corrective action</w:t>
      </w:r>
      <w:r w:rsidR="0093257B" w:rsidRPr="00255317">
        <w:rPr>
          <w:rFonts w:asciiTheme="minorHAnsi" w:hAnsiTheme="minorHAnsi" w:cstheme="minorHAnsi"/>
        </w:rPr>
        <w:t xml:space="preserve"> was required</w:t>
      </w:r>
      <w:r w:rsidR="00F222C6" w:rsidRPr="00255317">
        <w:rPr>
          <w:rFonts w:asciiTheme="minorHAnsi" w:hAnsiTheme="minorHAnsi" w:cstheme="minorHAnsi"/>
        </w:rPr>
        <w:t xml:space="preserve">. The </w:t>
      </w:r>
      <w:r w:rsidR="0042243E" w:rsidRPr="00255317">
        <w:rPr>
          <w:rFonts w:asciiTheme="minorHAnsi" w:hAnsiTheme="minorHAnsi" w:cstheme="minorHAnsi"/>
        </w:rPr>
        <w:t xml:space="preserve">facility-wide </w:t>
      </w:r>
      <w:r w:rsidR="00F222C6" w:rsidRPr="00255317">
        <w:rPr>
          <w:rFonts w:asciiTheme="minorHAnsi" w:hAnsiTheme="minorHAnsi" w:cstheme="minorHAnsi"/>
        </w:rPr>
        <w:t xml:space="preserve">corrective action </w:t>
      </w:r>
      <w:r w:rsidR="0042243E" w:rsidRPr="00255317">
        <w:rPr>
          <w:rFonts w:asciiTheme="minorHAnsi" w:hAnsiTheme="minorHAnsi" w:cstheme="minorHAnsi"/>
        </w:rPr>
        <w:t>process</w:t>
      </w:r>
      <w:r w:rsidR="00F222C6" w:rsidRPr="00255317">
        <w:rPr>
          <w:rFonts w:asciiTheme="minorHAnsi" w:hAnsiTheme="minorHAnsi" w:cstheme="minorHAnsi"/>
        </w:rPr>
        <w:t xml:space="preserve"> included investigation</w:t>
      </w:r>
      <w:r w:rsidR="0042243E" w:rsidRPr="00255317">
        <w:rPr>
          <w:rFonts w:asciiTheme="minorHAnsi" w:hAnsiTheme="minorHAnsi" w:cstheme="minorHAnsi"/>
        </w:rPr>
        <w:t>s</w:t>
      </w:r>
      <w:r w:rsidR="00F222C6" w:rsidRPr="00255317">
        <w:rPr>
          <w:rFonts w:asciiTheme="minorHAnsi" w:hAnsiTheme="minorHAnsi" w:cstheme="minorHAnsi"/>
        </w:rPr>
        <w:t>, risk assessment</w:t>
      </w:r>
      <w:r w:rsidR="0042243E" w:rsidRPr="00255317">
        <w:rPr>
          <w:rFonts w:asciiTheme="minorHAnsi" w:hAnsiTheme="minorHAnsi" w:cstheme="minorHAnsi"/>
        </w:rPr>
        <w:t>s</w:t>
      </w:r>
      <w:r w:rsidR="00F222C6" w:rsidRPr="00255317">
        <w:rPr>
          <w:rFonts w:asciiTheme="minorHAnsi" w:hAnsiTheme="minorHAnsi" w:cstheme="minorHAnsi"/>
        </w:rPr>
        <w:t xml:space="preserve">, corrective measures studies, implementation of selected remedies, and final review of both soil and groundwater corrective measures. The mutual objective </w:t>
      </w:r>
      <w:r w:rsidR="0093257B" w:rsidRPr="00255317">
        <w:rPr>
          <w:rFonts w:asciiTheme="minorHAnsi" w:hAnsiTheme="minorHAnsi" w:cstheme="minorHAnsi"/>
        </w:rPr>
        <w:t xml:space="preserve">of facility-wide corrective action </w:t>
      </w:r>
      <w:r w:rsidRPr="00255317">
        <w:rPr>
          <w:rFonts w:asciiTheme="minorHAnsi" w:hAnsiTheme="minorHAnsi" w:cstheme="minorHAnsi"/>
        </w:rPr>
        <w:t>was</w:t>
      </w:r>
      <w:r w:rsidR="00F222C6" w:rsidRPr="00255317">
        <w:rPr>
          <w:rFonts w:asciiTheme="minorHAnsi" w:hAnsiTheme="minorHAnsi" w:cstheme="minorHAnsi"/>
        </w:rPr>
        <w:t xml:space="preserve"> to address contamination and protect human health and the environment. </w:t>
      </w:r>
    </w:p>
    <w:p w14:paraId="5942D32B" w14:textId="31D17C0E" w:rsidR="00DD4E7A" w:rsidRPr="00DD4E7A" w:rsidRDefault="00DD4E7A" w:rsidP="009466F4">
      <w:pPr>
        <w:spacing w:after="0"/>
        <w:rPr>
          <w:rFonts w:asciiTheme="minorHAnsi" w:hAnsiTheme="minorHAnsi" w:cstheme="minorHAnsi"/>
          <w:b/>
          <w:bCs/>
        </w:rPr>
      </w:pPr>
      <w:r w:rsidRPr="00DD4E7A">
        <w:rPr>
          <w:rFonts w:asciiTheme="minorHAnsi" w:hAnsiTheme="minorHAnsi" w:cstheme="minorHAnsi"/>
          <w:b/>
          <w:bCs/>
        </w:rPr>
        <w:t>Chemicals of Concern Above Risk-Based or Cleanup Levels</w:t>
      </w:r>
    </w:p>
    <w:p w14:paraId="73AC112E" w14:textId="71B079DA" w:rsidR="00DD4E7A" w:rsidRPr="00DD4E7A" w:rsidRDefault="00DD4E7A" w:rsidP="00DD4E7A">
      <w:pPr>
        <w:rPr>
          <w:rFonts w:asciiTheme="minorHAnsi" w:hAnsiTheme="minorHAnsi" w:cstheme="minorHAnsi"/>
        </w:rPr>
      </w:pPr>
      <w:r w:rsidRPr="00DD4E7A">
        <w:rPr>
          <w:rFonts w:asciiTheme="minorHAnsi" w:hAnsiTheme="minorHAnsi" w:cstheme="minorHAnsi"/>
        </w:rPr>
        <w:t>The chemicals identified as concern and found above risk-based or cleanup levels for corrective action included the following:</w:t>
      </w:r>
    </w:p>
    <w:p w14:paraId="2B1BF584" w14:textId="717A11CC" w:rsidR="00DD4E7A" w:rsidRPr="00DD4E7A" w:rsidRDefault="00DD4E7A" w:rsidP="00DD4E7A">
      <w:pPr>
        <w:numPr>
          <w:ilvl w:val="0"/>
          <w:numId w:val="1"/>
        </w:numPr>
        <w:rPr>
          <w:rFonts w:asciiTheme="minorHAnsi" w:hAnsiTheme="minorHAnsi" w:cstheme="minorHAnsi"/>
        </w:rPr>
      </w:pPr>
      <w:r w:rsidRPr="00DD4E7A">
        <w:rPr>
          <w:rFonts w:asciiTheme="minorHAnsi" w:hAnsiTheme="minorHAnsi" w:cstheme="minorHAnsi"/>
          <w:b/>
          <w:bCs/>
        </w:rPr>
        <w:t>Soil:</w:t>
      </w:r>
      <w:r w:rsidRPr="00DD4E7A">
        <w:rPr>
          <w:rFonts w:asciiTheme="minorHAnsi" w:hAnsiTheme="minorHAnsi" w:cstheme="minorHAnsi"/>
        </w:rPr>
        <w:t xml:space="preserve"> MCPA </w:t>
      </w:r>
      <w:r w:rsidR="0093257B" w:rsidRPr="00255317">
        <w:rPr>
          <w:rFonts w:asciiTheme="minorHAnsi" w:hAnsiTheme="minorHAnsi" w:cstheme="minorHAnsi"/>
        </w:rPr>
        <w:t xml:space="preserve">and 2,4-D </w:t>
      </w:r>
      <w:r w:rsidRPr="00DD4E7A">
        <w:rPr>
          <w:rFonts w:asciiTheme="minorHAnsi" w:hAnsiTheme="minorHAnsi" w:cstheme="minorHAnsi"/>
        </w:rPr>
        <w:t xml:space="preserve">exceeded industrial </w:t>
      </w:r>
      <w:r w:rsidR="0093257B" w:rsidRPr="00255317">
        <w:rPr>
          <w:rFonts w:asciiTheme="minorHAnsi" w:hAnsiTheme="minorHAnsi" w:cstheme="minorHAnsi"/>
        </w:rPr>
        <w:t>action levels</w:t>
      </w:r>
      <w:r w:rsidRPr="00DD4E7A">
        <w:rPr>
          <w:rFonts w:asciiTheme="minorHAnsi" w:hAnsiTheme="minorHAnsi" w:cstheme="minorHAnsi"/>
        </w:rPr>
        <w:t xml:space="preserve"> in soil </w:t>
      </w:r>
      <w:r w:rsidR="0093257B" w:rsidRPr="00255317">
        <w:rPr>
          <w:rFonts w:asciiTheme="minorHAnsi" w:hAnsiTheme="minorHAnsi" w:cstheme="minorHAnsi"/>
        </w:rPr>
        <w:t>in the area northeast of the plant</w:t>
      </w:r>
      <w:r w:rsidR="0042243E" w:rsidRPr="00255317">
        <w:rPr>
          <w:rFonts w:asciiTheme="minorHAnsi" w:hAnsiTheme="minorHAnsi" w:cstheme="minorHAnsi"/>
        </w:rPr>
        <w:t>. 2,4-D also exceeded industrial action levels in the former surface impoundment</w:t>
      </w:r>
      <w:r w:rsidR="0093257B" w:rsidRPr="00255317">
        <w:rPr>
          <w:rFonts w:asciiTheme="minorHAnsi" w:hAnsiTheme="minorHAnsi" w:cstheme="minorHAnsi"/>
        </w:rPr>
        <w:t>.</w:t>
      </w:r>
    </w:p>
    <w:p w14:paraId="5E3ED97D" w14:textId="2078D821" w:rsidR="00DD4E7A" w:rsidRPr="00255317" w:rsidRDefault="00DD4E7A" w:rsidP="00AB5149">
      <w:pPr>
        <w:numPr>
          <w:ilvl w:val="0"/>
          <w:numId w:val="1"/>
        </w:numPr>
        <w:spacing w:after="200"/>
        <w:rPr>
          <w:rFonts w:asciiTheme="minorHAnsi" w:hAnsiTheme="minorHAnsi" w:cstheme="minorHAnsi"/>
        </w:rPr>
      </w:pPr>
      <w:r w:rsidRPr="00DD4E7A">
        <w:rPr>
          <w:rFonts w:asciiTheme="minorHAnsi" w:hAnsiTheme="minorHAnsi" w:cstheme="minorHAnsi"/>
          <w:b/>
          <w:bCs/>
        </w:rPr>
        <w:lastRenderedPageBreak/>
        <w:t>Groundwater:</w:t>
      </w:r>
      <w:r w:rsidRPr="00DD4E7A">
        <w:rPr>
          <w:rFonts w:asciiTheme="minorHAnsi" w:hAnsiTheme="minorHAnsi" w:cstheme="minorHAnsi"/>
        </w:rPr>
        <w:t xml:space="preserve">  2,4-D, MCPP, MCPA, total phenolics, dicamba, </w:t>
      </w:r>
      <w:proofErr w:type="spellStart"/>
      <w:r w:rsidRPr="00DD4E7A">
        <w:rPr>
          <w:rFonts w:asciiTheme="minorHAnsi" w:hAnsiTheme="minorHAnsi" w:cstheme="minorHAnsi"/>
        </w:rPr>
        <w:t>diallate</w:t>
      </w:r>
      <w:proofErr w:type="spellEnd"/>
      <w:r w:rsidRPr="00DD4E7A">
        <w:rPr>
          <w:rFonts w:asciiTheme="minorHAnsi" w:hAnsiTheme="minorHAnsi" w:cstheme="minorHAnsi"/>
        </w:rPr>
        <w:t>, clopyralid, picloram, triallate, and arsenic</w:t>
      </w:r>
      <w:r w:rsidR="0042243E" w:rsidRPr="00255317">
        <w:rPr>
          <w:rFonts w:asciiTheme="minorHAnsi" w:hAnsiTheme="minorHAnsi" w:cstheme="minorHAnsi"/>
        </w:rPr>
        <w:t xml:space="preserve"> exceeded industrial action levels in groundwater</w:t>
      </w:r>
      <w:r w:rsidRPr="00DD4E7A">
        <w:rPr>
          <w:rFonts w:asciiTheme="minorHAnsi" w:hAnsiTheme="minorHAnsi" w:cstheme="minorHAnsi"/>
        </w:rPr>
        <w:t xml:space="preserve">. </w:t>
      </w:r>
    </w:p>
    <w:p w14:paraId="244D352B" w14:textId="6F15897A"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Soil Remediation</w:t>
      </w:r>
    </w:p>
    <w:p w14:paraId="53DD84A3" w14:textId="7178AEBA" w:rsidR="00E24DD8" w:rsidRPr="00255317" w:rsidRDefault="001A431C">
      <w:pPr>
        <w:rPr>
          <w:rFonts w:asciiTheme="minorHAnsi" w:hAnsiTheme="minorHAnsi" w:cstheme="minorHAnsi"/>
        </w:rPr>
      </w:pPr>
      <w:r w:rsidRPr="00255317">
        <w:rPr>
          <w:rFonts w:asciiTheme="minorHAnsi" w:hAnsiTheme="minorHAnsi" w:cstheme="minorHAnsi"/>
        </w:rPr>
        <w:t>For the soil remedy</w:t>
      </w:r>
      <w:r w:rsidR="0042243E" w:rsidRPr="00255317">
        <w:rPr>
          <w:rFonts w:asciiTheme="minorHAnsi" w:hAnsiTheme="minorHAnsi" w:cstheme="minorHAnsi"/>
        </w:rPr>
        <w:t xml:space="preserve"> for site-wide soil contamination</w:t>
      </w:r>
      <w:r w:rsidRPr="00255317">
        <w:rPr>
          <w:rFonts w:asciiTheme="minorHAnsi" w:hAnsiTheme="minorHAnsi" w:cstheme="minorHAnsi"/>
        </w:rPr>
        <w:t xml:space="preserve">, DEQ issued a Statement of Basis on April 1, </w:t>
      </w:r>
      <w:proofErr w:type="gramStart"/>
      <w:r w:rsidRPr="00255317">
        <w:rPr>
          <w:rFonts w:asciiTheme="minorHAnsi" w:hAnsiTheme="minorHAnsi" w:cstheme="minorHAnsi"/>
        </w:rPr>
        <w:t>2010</w:t>
      </w:r>
      <w:proofErr w:type="gramEnd"/>
      <w:r w:rsidRPr="00255317">
        <w:rPr>
          <w:rFonts w:asciiTheme="minorHAnsi" w:hAnsiTheme="minorHAnsi" w:cstheme="minorHAnsi"/>
        </w:rPr>
        <w:t xml:space="preserve"> and held a 45-day public comment period before issuing its decision document on June 1, 2010. Based on that decision document, i</w:t>
      </w:r>
      <w:r w:rsidR="00F222C6" w:rsidRPr="00255317">
        <w:rPr>
          <w:rFonts w:asciiTheme="minorHAnsi" w:hAnsiTheme="minorHAnsi" w:cstheme="minorHAnsi"/>
        </w:rPr>
        <w:t xml:space="preserve">n August 2010, approximately 18 cubic yards of impacted soil were excavated from </w:t>
      </w:r>
      <w:r w:rsidR="0093257B" w:rsidRPr="00255317">
        <w:rPr>
          <w:rFonts w:asciiTheme="minorHAnsi" w:hAnsiTheme="minorHAnsi" w:cstheme="minorHAnsi"/>
        </w:rPr>
        <w:t>the contaminated area</w:t>
      </w:r>
      <w:r w:rsidR="00F222C6" w:rsidRPr="00255317">
        <w:rPr>
          <w:rFonts w:asciiTheme="minorHAnsi" w:hAnsiTheme="minorHAnsi" w:cstheme="minorHAnsi"/>
        </w:rPr>
        <w:t xml:space="preserve"> and confirmation samples showed MCPA and 2,4-D concentrations below the applicable remediation goals. DEQ approved </w:t>
      </w:r>
      <w:r w:rsidR="0093257B" w:rsidRPr="00255317">
        <w:rPr>
          <w:rFonts w:asciiTheme="minorHAnsi" w:hAnsiTheme="minorHAnsi" w:cstheme="minorHAnsi"/>
        </w:rPr>
        <w:t xml:space="preserve">the </w:t>
      </w:r>
      <w:r w:rsidR="00F222C6" w:rsidRPr="00255317">
        <w:rPr>
          <w:rFonts w:asciiTheme="minorHAnsi" w:hAnsiTheme="minorHAnsi" w:cstheme="minorHAnsi"/>
        </w:rPr>
        <w:t>soil corrective measures</w:t>
      </w:r>
      <w:r w:rsidR="00961EB6" w:rsidRPr="00255317">
        <w:rPr>
          <w:rFonts w:asciiTheme="minorHAnsi" w:hAnsiTheme="minorHAnsi" w:cstheme="minorHAnsi"/>
        </w:rPr>
        <w:t xml:space="preserve"> completion</w:t>
      </w:r>
      <w:r w:rsidR="00F222C6" w:rsidRPr="00255317">
        <w:rPr>
          <w:rFonts w:asciiTheme="minorHAnsi" w:hAnsiTheme="minorHAnsi" w:cstheme="minorHAnsi"/>
        </w:rPr>
        <w:t xml:space="preserve"> on April 7, 2011. </w:t>
      </w:r>
    </w:p>
    <w:p w14:paraId="59B1E029" w14:textId="46B70C2E" w:rsidR="00F222C6" w:rsidRPr="00255317" w:rsidRDefault="00F222C6">
      <w:pPr>
        <w:rPr>
          <w:rFonts w:asciiTheme="minorHAnsi" w:hAnsiTheme="minorHAnsi" w:cstheme="minorHAnsi"/>
        </w:rPr>
      </w:pPr>
      <w:r w:rsidRPr="00255317">
        <w:rPr>
          <w:rFonts w:asciiTheme="minorHAnsi" w:hAnsiTheme="minorHAnsi" w:cstheme="minorHAnsi"/>
        </w:rPr>
        <w:t xml:space="preserve">A separate excavation was completed in 2012 at the former surface impoundment. The solidified sludge and soil were excavated and shipped to an off-site permitted hazardous waste disposal facility. Confirmation samples collected at the </w:t>
      </w:r>
      <w:r w:rsidR="0093257B" w:rsidRPr="00255317">
        <w:rPr>
          <w:rFonts w:asciiTheme="minorHAnsi" w:hAnsiTheme="minorHAnsi" w:cstheme="minorHAnsi"/>
        </w:rPr>
        <w:t xml:space="preserve">base and walls of the </w:t>
      </w:r>
      <w:r w:rsidRPr="00255317">
        <w:rPr>
          <w:rFonts w:asciiTheme="minorHAnsi" w:hAnsiTheme="minorHAnsi" w:cstheme="minorHAnsi"/>
        </w:rPr>
        <w:t xml:space="preserve">excavation showed </w:t>
      </w:r>
      <w:r w:rsidR="00CA07BC" w:rsidRPr="00255317">
        <w:rPr>
          <w:rFonts w:asciiTheme="minorHAnsi" w:hAnsiTheme="minorHAnsi" w:cstheme="minorHAnsi"/>
        </w:rPr>
        <w:t>all site contaminants of potential concern</w:t>
      </w:r>
      <w:r w:rsidRPr="00255317">
        <w:rPr>
          <w:rFonts w:asciiTheme="minorHAnsi" w:hAnsiTheme="minorHAnsi" w:cstheme="minorHAnsi"/>
        </w:rPr>
        <w:t xml:space="preserve"> below industrial screening </w:t>
      </w:r>
      <w:r w:rsidR="00CA07BC" w:rsidRPr="00255317">
        <w:rPr>
          <w:rFonts w:asciiTheme="minorHAnsi" w:hAnsiTheme="minorHAnsi" w:cstheme="minorHAnsi"/>
        </w:rPr>
        <w:t xml:space="preserve">and/or risk </w:t>
      </w:r>
      <w:r w:rsidRPr="00255317">
        <w:rPr>
          <w:rFonts w:asciiTheme="minorHAnsi" w:hAnsiTheme="minorHAnsi" w:cstheme="minorHAnsi"/>
        </w:rPr>
        <w:t xml:space="preserve">levels, and DEQ </w:t>
      </w:r>
      <w:r w:rsidR="0093257B" w:rsidRPr="00255317">
        <w:rPr>
          <w:rFonts w:asciiTheme="minorHAnsi" w:hAnsiTheme="minorHAnsi" w:cstheme="minorHAnsi"/>
        </w:rPr>
        <w:t>determined</w:t>
      </w:r>
      <w:r w:rsidRPr="00255317">
        <w:rPr>
          <w:rFonts w:asciiTheme="minorHAnsi" w:hAnsiTheme="minorHAnsi" w:cstheme="minorHAnsi"/>
        </w:rPr>
        <w:t xml:space="preserve"> no further soil corrective measures</w:t>
      </w:r>
      <w:r w:rsidR="0093257B" w:rsidRPr="00255317">
        <w:rPr>
          <w:rFonts w:asciiTheme="minorHAnsi" w:hAnsiTheme="minorHAnsi" w:cstheme="minorHAnsi"/>
        </w:rPr>
        <w:t xml:space="preserve"> was</w:t>
      </w:r>
      <w:r w:rsidRPr="00255317">
        <w:rPr>
          <w:rFonts w:asciiTheme="minorHAnsi" w:hAnsiTheme="minorHAnsi" w:cstheme="minorHAnsi"/>
        </w:rPr>
        <w:t xml:space="preserve"> required for the surface impoundment area. </w:t>
      </w:r>
    </w:p>
    <w:p w14:paraId="078853A6" w14:textId="1A31DA69" w:rsidR="0042243E" w:rsidRPr="0042243E" w:rsidRDefault="0042243E" w:rsidP="00AB5149">
      <w:pPr>
        <w:spacing w:after="200"/>
        <w:rPr>
          <w:rFonts w:asciiTheme="minorHAnsi" w:hAnsiTheme="minorHAnsi" w:cstheme="minorHAnsi"/>
        </w:rPr>
      </w:pPr>
      <w:proofErr w:type="gramStart"/>
      <w:r w:rsidRPr="00255317">
        <w:rPr>
          <w:rFonts w:asciiTheme="minorHAnsi" w:hAnsiTheme="minorHAnsi" w:cstheme="minorHAnsi"/>
        </w:rPr>
        <w:t>A number of</w:t>
      </w:r>
      <w:proofErr w:type="gramEnd"/>
      <w:r w:rsidRPr="00255317">
        <w:rPr>
          <w:rFonts w:asciiTheme="minorHAnsi" w:hAnsiTheme="minorHAnsi" w:cstheme="minorHAnsi"/>
        </w:rPr>
        <w:t xml:space="preserve"> areas were not able to be evaluated during the initial soil assessments and investigations due to plant activity that restricted safe access to the subsurface soil.  </w:t>
      </w:r>
      <w:r w:rsidR="00961EB6" w:rsidRPr="00255317">
        <w:rPr>
          <w:rFonts w:asciiTheme="minorHAnsi" w:hAnsiTheme="minorHAnsi" w:cstheme="minorHAnsi"/>
        </w:rPr>
        <w:t>Due to plant closure which allowed safe access, i</w:t>
      </w:r>
      <w:r w:rsidRPr="0042243E">
        <w:rPr>
          <w:rFonts w:asciiTheme="minorHAnsi" w:hAnsiTheme="minorHAnsi" w:cstheme="minorHAnsi"/>
        </w:rPr>
        <w:t xml:space="preserve">n 2022, soil samples were collected from beneath the concrete floors and loading dock and analyzed for all historical site chemicals of potential concern. Based on those investigation results and a 2023 screening-level risk assessment, DEQ determined that no further action was required for </w:t>
      </w:r>
      <w:r w:rsidRPr="00255317">
        <w:rPr>
          <w:rFonts w:asciiTheme="minorHAnsi" w:hAnsiTheme="minorHAnsi" w:cstheme="minorHAnsi"/>
        </w:rPr>
        <w:t>those deferred areas</w:t>
      </w:r>
      <w:r w:rsidRPr="0042243E">
        <w:rPr>
          <w:rFonts w:asciiTheme="minorHAnsi" w:hAnsiTheme="minorHAnsi" w:cstheme="minorHAnsi"/>
        </w:rPr>
        <w:t>. This work completed the remaining soil-related evaluation</w:t>
      </w:r>
      <w:r w:rsidR="00CA07BC" w:rsidRPr="00255317">
        <w:rPr>
          <w:rFonts w:asciiTheme="minorHAnsi" w:hAnsiTheme="minorHAnsi" w:cstheme="minorHAnsi"/>
        </w:rPr>
        <w:t>s</w:t>
      </w:r>
      <w:r w:rsidRPr="0042243E">
        <w:rPr>
          <w:rFonts w:asciiTheme="minorHAnsi" w:hAnsiTheme="minorHAnsi" w:cstheme="minorHAnsi"/>
        </w:rPr>
        <w:t xml:space="preserve"> </w:t>
      </w:r>
      <w:r w:rsidRPr="00255317">
        <w:rPr>
          <w:rFonts w:asciiTheme="minorHAnsi" w:hAnsiTheme="minorHAnsi" w:cstheme="minorHAnsi"/>
        </w:rPr>
        <w:t>for facility-wide corrective action at the site</w:t>
      </w:r>
      <w:r w:rsidRPr="0042243E">
        <w:rPr>
          <w:rFonts w:asciiTheme="minorHAnsi" w:hAnsiTheme="minorHAnsi" w:cstheme="minorHAnsi"/>
        </w:rPr>
        <w:t>.</w:t>
      </w:r>
    </w:p>
    <w:p w14:paraId="52FFE6B3" w14:textId="3D3E0353"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Groundwater Remediation</w:t>
      </w:r>
      <w:r w:rsidR="005431E4" w:rsidRPr="00255317">
        <w:rPr>
          <w:rFonts w:asciiTheme="minorHAnsi" w:hAnsiTheme="minorHAnsi" w:cstheme="minorHAnsi"/>
          <w:b/>
          <w:bCs/>
        </w:rPr>
        <w:t xml:space="preserve"> </w:t>
      </w:r>
    </w:p>
    <w:p w14:paraId="11BE9B73" w14:textId="61A2FA18" w:rsidR="00F222C6" w:rsidRPr="00255317" w:rsidRDefault="00F222C6">
      <w:pPr>
        <w:rPr>
          <w:rFonts w:asciiTheme="minorHAnsi" w:hAnsiTheme="minorHAnsi" w:cstheme="minorHAnsi"/>
        </w:rPr>
      </w:pPr>
      <w:r w:rsidRPr="00255317">
        <w:rPr>
          <w:rFonts w:asciiTheme="minorHAnsi" w:hAnsiTheme="minorHAnsi" w:cstheme="minorHAnsi"/>
        </w:rPr>
        <w:t>Groundwater monitoring has been conducted at the site since the early 1980s. Earlier groundwater remedies</w:t>
      </w:r>
      <w:r w:rsidR="0093257B" w:rsidRPr="00255317">
        <w:rPr>
          <w:rFonts w:asciiTheme="minorHAnsi" w:hAnsiTheme="minorHAnsi" w:cstheme="minorHAnsi"/>
        </w:rPr>
        <w:t xml:space="preserve"> to address </w:t>
      </w:r>
      <w:r w:rsidR="00E24DD8" w:rsidRPr="00255317">
        <w:rPr>
          <w:rFonts w:asciiTheme="minorHAnsi" w:hAnsiTheme="minorHAnsi" w:cstheme="minorHAnsi"/>
        </w:rPr>
        <w:t>c</w:t>
      </w:r>
      <w:r w:rsidR="0093257B" w:rsidRPr="00255317">
        <w:rPr>
          <w:rFonts w:asciiTheme="minorHAnsi" w:hAnsiTheme="minorHAnsi" w:cstheme="minorHAnsi"/>
        </w:rPr>
        <w:t>ontamination</w:t>
      </w:r>
      <w:r w:rsidRPr="00255317">
        <w:rPr>
          <w:rFonts w:asciiTheme="minorHAnsi" w:hAnsiTheme="minorHAnsi" w:cstheme="minorHAnsi"/>
        </w:rPr>
        <w:t xml:space="preserve"> included pump-and-treat and bioremediation systems operated between 1983 and 2003, followed by use of in-situ Submerged Oxygen Curtain (</w:t>
      </w:r>
      <w:proofErr w:type="spellStart"/>
      <w:r w:rsidRPr="00255317">
        <w:rPr>
          <w:rFonts w:asciiTheme="minorHAnsi" w:hAnsiTheme="minorHAnsi" w:cstheme="minorHAnsi"/>
        </w:rPr>
        <w:t>iSOC</w:t>
      </w:r>
      <w:proofErr w:type="spellEnd"/>
      <w:r w:rsidRPr="00255317">
        <w:rPr>
          <w:rFonts w:asciiTheme="minorHAnsi" w:hAnsiTheme="minorHAnsi" w:cstheme="minorHAnsi"/>
        </w:rPr>
        <w:t xml:space="preserve">) technology and monitored natural attenuation. </w:t>
      </w:r>
      <w:r w:rsidR="001A431C" w:rsidRPr="00255317">
        <w:rPr>
          <w:rFonts w:asciiTheme="minorHAnsi" w:hAnsiTheme="minorHAnsi" w:cstheme="minorHAnsi"/>
        </w:rPr>
        <w:t xml:space="preserve">For the </w:t>
      </w:r>
      <w:r w:rsidRPr="00255317">
        <w:rPr>
          <w:rFonts w:asciiTheme="minorHAnsi" w:hAnsiTheme="minorHAnsi" w:cstheme="minorHAnsi"/>
        </w:rPr>
        <w:t>selected final groundwater remedy</w:t>
      </w:r>
      <w:r w:rsidR="001A431C" w:rsidRPr="00255317">
        <w:rPr>
          <w:rFonts w:asciiTheme="minorHAnsi" w:hAnsiTheme="minorHAnsi" w:cstheme="minorHAnsi"/>
        </w:rPr>
        <w:t>, DEQ issued a Statement of Basis on May 18, 2015, and held a 45-day public comment period before issuing its final decision document on July 14, 2015.  The groundwater remedy</w:t>
      </w:r>
      <w:r w:rsidRPr="00255317">
        <w:rPr>
          <w:rFonts w:asciiTheme="minorHAnsi" w:hAnsiTheme="minorHAnsi" w:cstheme="minorHAnsi"/>
        </w:rPr>
        <w:t xml:space="preserve"> combined institutional controls, long-term monitoring, and localized </w:t>
      </w:r>
      <w:proofErr w:type="spellStart"/>
      <w:r w:rsidRPr="00255317">
        <w:rPr>
          <w:rFonts w:asciiTheme="minorHAnsi" w:hAnsiTheme="minorHAnsi" w:cstheme="minorHAnsi"/>
        </w:rPr>
        <w:t>iSOC</w:t>
      </w:r>
      <w:proofErr w:type="spellEnd"/>
      <w:r w:rsidRPr="00255317">
        <w:rPr>
          <w:rFonts w:asciiTheme="minorHAnsi" w:hAnsiTheme="minorHAnsi" w:cstheme="minorHAnsi"/>
        </w:rPr>
        <w:t xml:space="preserve"> treatment when needed. </w:t>
      </w:r>
    </w:p>
    <w:p w14:paraId="5F35A0B6" w14:textId="1AB4631A" w:rsidR="0093257B" w:rsidRPr="00255317" w:rsidRDefault="0093257B" w:rsidP="00AB5149">
      <w:pPr>
        <w:spacing w:after="200"/>
        <w:rPr>
          <w:rFonts w:asciiTheme="minorHAnsi" w:hAnsiTheme="minorHAnsi" w:cstheme="minorHAnsi"/>
        </w:rPr>
      </w:pPr>
      <w:r w:rsidRPr="00DD4E7A">
        <w:rPr>
          <w:rFonts w:asciiTheme="minorHAnsi" w:hAnsiTheme="minorHAnsi" w:cstheme="minorHAnsi"/>
        </w:rPr>
        <w:t>Of the</w:t>
      </w:r>
      <w:r w:rsidRPr="00255317">
        <w:rPr>
          <w:rFonts w:asciiTheme="minorHAnsi" w:hAnsiTheme="minorHAnsi" w:cstheme="minorHAnsi"/>
        </w:rPr>
        <w:t xml:space="preserve"> </w:t>
      </w:r>
      <w:r w:rsidR="001A431C" w:rsidRPr="00255317">
        <w:rPr>
          <w:rFonts w:asciiTheme="minorHAnsi" w:hAnsiTheme="minorHAnsi" w:cstheme="minorHAnsi"/>
        </w:rPr>
        <w:t xml:space="preserve">groundwater </w:t>
      </w:r>
      <w:r w:rsidRPr="00255317">
        <w:rPr>
          <w:rFonts w:asciiTheme="minorHAnsi" w:hAnsiTheme="minorHAnsi" w:cstheme="minorHAnsi"/>
        </w:rPr>
        <w:t>chemicals of concern</w:t>
      </w:r>
      <w:r w:rsidRPr="00DD4E7A">
        <w:rPr>
          <w:rFonts w:asciiTheme="minorHAnsi" w:hAnsiTheme="minorHAnsi" w:cstheme="minorHAnsi"/>
        </w:rPr>
        <w:t>, since 2016 the only constituents detected above current DEQ-7 standards were MCP</w:t>
      </w:r>
      <w:r w:rsidR="00CA07BC" w:rsidRPr="00255317">
        <w:rPr>
          <w:rFonts w:asciiTheme="minorHAnsi" w:hAnsiTheme="minorHAnsi" w:cstheme="minorHAnsi"/>
        </w:rPr>
        <w:t>P</w:t>
      </w:r>
      <w:r w:rsidRPr="00DD4E7A">
        <w:rPr>
          <w:rFonts w:asciiTheme="minorHAnsi" w:hAnsiTheme="minorHAnsi" w:cstheme="minorHAnsi"/>
        </w:rPr>
        <w:t>, MCP</w:t>
      </w:r>
      <w:r w:rsidR="00CA07BC" w:rsidRPr="00255317">
        <w:rPr>
          <w:rFonts w:asciiTheme="minorHAnsi" w:hAnsiTheme="minorHAnsi" w:cstheme="minorHAnsi"/>
        </w:rPr>
        <w:t>A</w:t>
      </w:r>
      <w:r w:rsidRPr="00DD4E7A">
        <w:rPr>
          <w:rFonts w:asciiTheme="minorHAnsi" w:hAnsiTheme="minorHAnsi" w:cstheme="minorHAnsi"/>
        </w:rPr>
        <w:t>, and arsenic.</w:t>
      </w:r>
      <w:r w:rsidRPr="00255317">
        <w:rPr>
          <w:rFonts w:asciiTheme="minorHAnsi" w:hAnsiTheme="minorHAnsi" w:cstheme="minorHAnsi"/>
        </w:rPr>
        <w:t xml:space="preserve"> </w:t>
      </w:r>
      <w:r w:rsidR="001A431C" w:rsidRPr="00255317">
        <w:rPr>
          <w:rFonts w:asciiTheme="minorHAnsi" w:hAnsiTheme="minorHAnsi" w:cstheme="minorHAnsi"/>
        </w:rPr>
        <w:t>Standards</w:t>
      </w:r>
      <w:r w:rsidR="005431E4" w:rsidRPr="00255317">
        <w:rPr>
          <w:rFonts w:asciiTheme="minorHAnsi" w:hAnsiTheme="minorHAnsi" w:cstheme="minorHAnsi"/>
        </w:rPr>
        <w:t xml:space="preserve"> have not been exceeded for </w:t>
      </w:r>
      <w:r w:rsidRPr="00255317">
        <w:rPr>
          <w:rFonts w:asciiTheme="minorHAnsi" w:hAnsiTheme="minorHAnsi" w:cstheme="minorHAnsi"/>
        </w:rPr>
        <w:t>MCPP since 2018, MCPA since 2021, and arsenic since 2023.</w:t>
      </w:r>
    </w:p>
    <w:p w14:paraId="5CB0BD98" w14:textId="75626A16" w:rsidR="005431E4" w:rsidRPr="00255317" w:rsidRDefault="005431E4" w:rsidP="009466F4">
      <w:pPr>
        <w:spacing w:after="0"/>
        <w:rPr>
          <w:rFonts w:asciiTheme="minorHAnsi" w:hAnsiTheme="minorHAnsi" w:cstheme="minorHAnsi"/>
          <w:b/>
          <w:bCs/>
        </w:rPr>
      </w:pPr>
      <w:r w:rsidRPr="00255317">
        <w:rPr>
          <w:rFonts w:asciiTheme="minorHAnsi" w:hAnsiTheme="minorHAnsi" w:cstheme="minorHAnsi"/>
          <w:b/>
          <w:bCs/>
        </w:rPr>
        <w:t>Environmental Control Easement</w:t>
      </w:r>
    </w:p>
    <w:p w14:paraId="50C1E3F8" w14:textId="6D444516" w:rsidR="005431E4" w:rsidRPr="005431E4" w:rsidRDefault="005431E4" w:rsidP="00AB5149">
      <w:pPr>
        <w:spacing w:after="200"/>
        <w:rPr>
          <w:rFonts w:asciiTheme="minorHAnsi" w:hAnsiTheme="minorHAnsi" w:cstheme="minorHAnsi"/>
        </w:rPr>
      </w:pPr>
      <w:r w:rsidRPr="005431E4">
        <w:rPr>
          <w:rFonts w:asciiTheme="minorHAnsi" w:hAnsiTheme="minorHAnsi" w:cstheme="minorHAnsi"/>
        </w:rPr>
        <w:t xml:space="preserve">A Declaration of Environmental Control Easement was established for the site in 2019 as part of the institutional controls supporting the groundwater remedy. The easement restricts the property to industrial use and limits groundwater use to </w:t>
      </w:r>
      <w:r w:rsidR="00C412DA">
        <w:rPr>
          <w:rFonts w:asciiTheme="minorHAnsi" w:hAnsiTheme="minorHAnsi" w:cstheme="minorHAnsi"/>
        </w:rPr>
        <w:t xml:space="preserve">only </w:t>
      </w:r>
      <w:r w:rsidRPr="005431E4">
        <w:rPr>
          <w:rFonts w:asciiTheme="minorHAnsi" w:hAnsiTheme="minorHAnsi" w:cstheme="minorHAnsi"/>
        </w:rPr>
        <w:t>industrial and monitoring purposes, helping ensure that residual site conditions remain protective of human health and the environment.</w:t>
      </w:r>
      <w:r w:rsidRPr="00255317">
        <w:rPr>
          <w:rFonts w:asciiTheme="minorHAnsi" w:hAnsiTheme="minorHAnsi" w:cstheme="minorHAnsi"/>
        </w:rPr>
        <w:t xml:space="preserve"> </w:t>
      </w:r>
      <w:r w:rsidRPr="005431E4">
        <w:rPr>
          <w:rFonts w:asciiTheme="minorHAnsi" w:hAnsiTheme="minorHAnsi" w:cstheme="minorHAnsi"/>
        </w:rPr>
        <w:t>In practice, the environmental control easement provides the long-term legal mechanism to preserve those restrictions after active remediation is completed.</w:t>
      </w:r>
    </w:p>
    <w:p w14:paraId="30D99CFC" w14:textId="14035ACE"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Completion of Facility-Wide Corrective Action</w:t>
      </w:r>
    </w:p>
    <w:p w14:paraId="6AF5A615" w14:textId="19814340" w:rsidR="00CA07BC" w:rsidRPr="00255317" w:rsidRDefault="00CA07BC">
      <w:pPr>
        <w:rPr>
          <w:rFonts w:asciiTheme="minorHAnsi" w:hAnsiTheme="minorHAnsi" w:cstheme="minorHAnsi"/>
        </w:rPr>
      </w:pPr>
      <w:r w:rsidRPr="00255317">
        <w:rPr>
          <w:rFonts w:asciiTheme="minorHAnsi" w:hAnsiTheme="minorHAnsi" w:cstheme="minorHAnsi"/>
        </w:rPr>
        <w:t>The following facility-wide corrective action activities have been completed at LPI, thus completing all remediation requirements for the site:</w:t>
      </w:r>
    </w:p>
    <w:p w14:paraId="323259C1" w14:textId="682F3623" w:rsidR="00CA07BC" w:rsidRPr="00255317" w:rsidRDefault="00CA07BC" w:rsidP="00CA07BC">
      <w:pPr>
        <w:pStyle w:val="ListParagraph"/>
        <w:numPr>
          <w:ilvl w:val="0"/>
          <w:numId w:val="2"/>
        </w:numPr>
        <w:rPr>
          <w:rFonts w:asciiTheme="minorHAnsi" w:hAnsiTheme="minorHAnsi" w:cstheme="minorHAnsi"/>
        </w:rPr>
      </w:pPr>
      <w:r w:rsidRPr="00255317">
        <w:rPr>
          <w:rFonts w:asciiTheme="minorHAnsi" w:hAnsiTheme="minorHAnsi" w:cstheme="minorHAnsi"/>
        </w:rPr>
        <w:t xml:space="preserve">Soil corrective measures completion report, </w:t>
      </w:r>
      <w:r w:rsidR="00FA5CEB" w:rsidRPr="00255317">
        <w:rPr>
          <w:rFonts w:asciiTheme="minorHAnsi" w:hAnsiTheme="minorHAnsi" w:cstheme="minorHAnsi"/>
        </w:rPr>
        <w:t>2010</w:t>
      </w:r>
    </w:p>
    <w:p w14:paraId="7C86291B" w14:textId="04DD4705" w:rsidR="00CA07BC" w:rsidRPr="00255317" w:rsidRDefault="00CA07BC" w:rsidP="00CA07BC">
      <w:pPr>
        <w:pStyle w:val="ListParagraph"/>
        <w:numPr>
          <w:ilvl w:val="0"/>
          <w:numId w:val="2"/>
        </w:numPr>
        <w:rPr>
          <w:rFonts w:asciiTheme="minorHAnsi" w:hAnsiTheme="minorHAnsi" w:cstheme="minorHAnsi"/>
        </w:rPr>
      </w:pPr>
      <w:r w:rsidRPr="00255317">
        <w:rPr>
          <w:rFonts w:asciiTheme="minorHAnsi" w:hAnsiTheme="minorHAnsi" w:cstheme="minorHAnsi"/>
        </w:rPr>
        <w:t xml:space="preserve">Surface impoundment excavation completion report, </w:t>
      </w:r>
      <w:r w:rsidR="00FA5CEB" w:rsidRPr="00255317">
        <w:rPr>
          <w:rFonts w:asciiTheme="minorHAnsi" w:hAnsiTheme="minorHAnsi" w:cstheme="minorHAnsi"/>
        </w:rPr>
        <w:t>2012</w:t>
      </w:r>
    </w:p>
    <w:p w14:paraId="1EAAD1FE" w14:textId="737FBB79" w:rsidR="00CA07BC" w:rsidRPr="00255317" w:rsidRDefault="00CA07BC" w:rsidP="00CA07BC">
      <w:pPr>
        <w:pStyle w:val="ListParagraph"/>
        <w:numPr>
          <w:ilvl w:val="0"/>
          <w:numId w:val="2"/>
        </w:numPr>
        <w:rPr>
          <w:rFonts w:asciiTheme="minorHAnsi" w:hAnsiTheme="minorHAnsi" w:cstheme="minorHAnsi"/>
        </w:rPr>
      </w:pPr>
      <w:r w:rsidRPr="00255317">
        <w:rPr>
          <w:rFonts w:asciiTheme="minorHAnsi" w:hAnsiTheme="minorHAnsi" w:cstheme="minorHAnsi"/>
        </w:rPr>
        <w:t xml:space="preserve">Surface impoundment </w:t>
      </w:r>
      <w:r w:rsidR="00DA35A1" w:rsidRPr="00255317">
        <w:rPr>
          <w:rFonts w:asciiTheme="minorHAnsi" w:hAnsiTheme="minorHAnsi" w:cstheme="minorHAnsi"/>
        </w:rPr>
        <w:t>risk assessment report</w:t>
      </w:r>
      <w:r w:rsidRPr="00255317">
        <w:rPr>
          <w:rFonts w:asciiTheme="minorHAnsi" w:hAnsiTheme="minorHAnsi" w:cstheme="minorHAnsi"/>
        </w:rPr>
        <w:t xml:space="preserve">, </w:t>
      </w:r>
      <w:r w:rsidR="00FA5CEB" w:rsidRPr="00255317">
        <w:rPr>
          <w:rFonts w:asciiTheme="minorHAnsi" w:hAnsiTheme="minorHAnsi" w:cstheme="minorHAnsi"/>
        </w:rPr>
        <w:t>2013</w:t>
      </w:r>
    </w:p>
    <w:p w14:paraId="2E43FE77" w14:textId="397B8D9F" w:rsidR="00CA07BC" w:rsidRPr="00255317" w:rsidRDefault="00CA07BC" w:rsidP="00CA07BC">
      <w:pPr>
        <w:pStyle w:val="ListParagraph"/>
        <w:numPr>
          <w:ilvl w:val="0"/>
          <w:numId w:val="2"/>
        </w:numPr>
        <w:rPr>
          <w:rFonts w:asciiTheme="minorHAnsi" w:hAnsiTheme="minorHAnsi" w:cstheme="minorHAnsi"/>
        </w:rPr>
      </w:pPr>
      <w:r w:rsidRPr="00255317">
        <w:rPr>
          <w:rFonts w:asciiTheme="minorHAnsi" w:hAnsiTheme="minorHAnsi" w:cstheme="minorHAnsi"/>
        </w:rPr>
        <w:t xml:space="preserve">Deferred area </w:t>
      </w:r>
      <w:r w:rsidR="00FA5CEB" w:rsidRPr="00255317">
        <w:rPr>
          <w:rFonts w:asciiTheme="minorHAnsi" w:hAnsiTheme="minorHAnsi" w:cstheme="minorHAnsi"/>
        </w:rPr>
        <w:t>analytical and risk assessment reports</w:t>
      </w:r>
      <w:r w:rsidRPr="00255317">
        <w:rPr>
          <w:rFonts w:asciiTheme="minorHAnsi" w:hAnsiTheme="minorHAnsi" w:cstheme="minorHAnsi"/>
        </w:rPr>
        <w:t xml:space="preserve">, </w:t>
      </w:r>
      <w:r w:rsidR="00704545" w:rsidRPr="00255317">
        <w:rPr>
          <w:rFonts w:asciiTheme="minorHAnsi" w:hAnsiTheme="minorHAnsi" w:cstheme="minorHAnsi"/>
        </w:rPr>
        <w:t>2023</w:t>
      </w:r>
    </w:p>
    <w:p w14:paraId="50155181" w14:textId="771BED39" w:rsidR="00CA07BC" w:rsidRPr="00255317" w:rsidRDefault="00CA07BC" w:rsidP="00CA07BC">
      <w:pPr>
        <w:pStyle w:val="ListParagraph"/>
        <w:numPr>
          <w:ilvl w:val="0"/>
          <w:numId w:val="2"/>
        </w:numPr>
        <w:rPr>
          <w:rFonts w:asciiTheme="minorHAnsi" w:hAnsiTheme="minorHAnsi" w:cstheme="minorHAnsi"/>
        </w:rPr>
      </w:pPr>
      <w:r w:rsidRPr="00255317">
        <w:rPr>
          <w:rFonts w:asciiTheme="minorHAnsi" w:hAnsiTheme="minorHAnsi" w:cstheme="minorHAnsi"/>
        </w:rPr>
        <w:t xml:space="preserve">Groundwater corrective measures completion report, </w:t>
      </w:r>
      <w:r w:rsidR="00AC2036" w:rsidRPr="00255317">
        <w:rPr>
          <w:rFonts w:asciiTheme="minorHAnsi" w:hAnsiTheme="minorHAnsi" w:cstheme="minorHAnsi"/>
        </w:rPr>
        <w:t>2025</w:t>
      </w:r>
    </w:p>
    <w:p w14:paraId="62959D85" w14:textId="696B2CE8" w:rsidR="00F222C6" w:rsidRPr="00255317" w:rsidRDefault="00F222C6" w:rsidP="00AB5149">
      <w:pPr>
        <w:spacing w:after="200"/>
        <w:rPr>
          <w:rFonts w:asciiTheme="minorHAnsi" w:hAnsiTheme="minorHAnsi" w:cstheme="minorHAnsi"/>
        </w:rPr>
      </w:pPr>
      <w:r w:rsidRPr="00255317">
        <w:rPr>
          <w:rFonts w:asciiTheme="minorHAnsi" w:hAnsiTheme="minorHAnsi" w:cstheme="minorHAnsi"/>
        </w:rPr>
        <w:lastRenderedPageBreak/>
        <w:t xml:space="preserve">Following approval of the groundwater </w:t>
      </w:r>
      <w:r w:rsidR="005431E4" w:rsidRPr="00255317">
        <w:rPr>
          <w:rFonts w:asciiTheme="minorHAnsi" w:hAnsiTheme="minorHAnsi" w:cstheme="minorHAnsi"/>
        </w:rPr>
        <w:t>corrective measures completion</w:t>
      </w:r>
      <w:r w:rsidRPr="00255317">
        <w:rPr>
          <w:rFonts w:asciiTheme="minorHAnsi" w:hAnsiTheme="minorHAnsi" w:cstheme="minorHAnsi"/>
        </w:rPr>
        <w:t xml:space="preserve"> report, the corrective action order </w:t>
      </w:r>
      <w:r w:rsidR="005431E4" w:rsidRPr="00255317">
        <w:rPr>
          <w:rFonts w:asciiTheme="minorHAnsi" w:hAnsiTheme="minorHAnsi" w:cstheme="minorHAnsi"/>
        </w:rPr>
        <w:t>requires</w:t>
      </w:r>
      <w:r w:rsidRPr="00255317">
        <w:rPr>
          <w:rFonts w:asciiTheme="minorHAnsi" w:hAnsiTheme="minorHAnsi" w:cstheme="minorHAnsi"/>
        </w:rPr>
        <w:t xml:space="preserve"> a public comment process on completion of both soil and groundwater remedies before DEQ issues its final decision on facility-wide corrective measures completion. </w:t>
      </w:r>
    </w:p>
    <w:p w14:paraId="1E610C0B" w14:textId="77777777" w:rsidR="00F222C6" w:rsidRPr="00255317" w:rsidRDefault="00F222C6" w:rsidP="009466F4">
      <w:pPr>
        <w:spacing w:after="0"/>
        <w:rPr>
          <w:rFonts w:asciiTheme="minorHAnsi" w:hAnsiTheme="minorHAnsi" w:cstheme="minorHAnsi"/>
          <w:b/>
          <w:bCs/>
        </w:rPr>
      </w:pPr>
      <w:r w:rsidRPr="00255317">
        <w:rPr>
          <w:rFonts w:asciiTheme="minorHAnsi" w:hAnsiTheme="minorHAnsi" w:cstheme="minorHAnsi"/>
          <w:b/>
          <w:bCs/>
        </w:rPr>
        <w:t>Public Participation</w:t>
      </w:r>
    </w:p>
    <w:p w14:paraId="57D265EF" w14:textId="1CC42F9F" w:rsidR="00E24DD8" w:rsidRPr="00255317" w:rsidRDefault="00E24DD8" w:rsidP="009466F4">
      <w:pPr>
        <w:spacing w:after="200"/>
        <w:rPr>
          <w:rFonts w:asciiTheme="minorHAnsi" w:hAnsiTheme="minorHAnsi" w:cstheme="minorHAnsi"/>
        </w:rPr>
      </w:pPr>
      <w:r w:rsidRPr="00255317">
        <w:rPr>
          <w:rFonts w:asciiTheme="minorHAnsi" w:hAnsiTheme="minorHAnsi" w:cstheme="minorHAnsi"/>
        </w:rPr>
        <w:t xml:space="preserve">Members of the public are provided the opportunity to review and comment on DEQ’s decision of facility-wide corrective measures completion. The soil </w:t>
      </w:r>
      <w:r w:rsidR="001A431C" w:rsidRPr="00255317">
        <w:rPr>
          <w:rFonts w:asciiTheme="minorHAnsi" w:hAnsiTheme="minorHAnsi" w:cstheme="minorHAnsi"/>
        </w:rPr>
        <w:t xml:space="preserve">and groundwater corrective measures completion reports are available for review on DEQ’s website at </w:t>
      </w:r>
      <w:hyperlink r:id="rId8" w:history="1">
        <w:r w:rsidR="001A431C" w:rsidRPr="00255317">
          <w:rPr>
            <w:rStyle w:val="Hyperlink"/>
            <w:rFonts w:asciiTheme="minorHAnsi" w:hAnsiTheme="minorHAnsi" w:cstheme="minorHAnsi"/>
          </w:rPr>
          <w:t>http://deq.mt.gov/Public/publiccomment</w:t>
        </w:r>
      </w:hyperlink>
      <w:r w:rsidR="001A431C" w:rsidRPr="00255317">
        <w:rPr>
          <w:rFonts w:asciiTheme="minorHAnsi" w:hAnsiTheme="minorHAnsi" w:cstheme="minorHAnsi"/>
        </w:rPr>
        <w:t xml:space="preserve">. A hard copy of the completion </w:t>
      </w:r>
      <w:proofErr w:type="gramStart"/>
      <w:r w:rsidR="001A431C" w:rsidRPr="00255317">
        <w:rPr>
          <w:rFonts w:asciiTheme="minorHAnsi" w:hAnsiTheme="minorHAnsi" w:cstheme="minorHAnsi"/>
        </w:rPr>
        <w:t>reports</w:t>
      </w:r>
      <w:proofErr w:type="gramEnd"/>
      <w:r w:rsidR="001A431C" w:rsidRPr="00255317">
        <w:rPr>
          <w:rFonts w:asciiTheme="minorHAnsi" w:hAnsiTheme="minorHAnsi" w:cstheme="minorHAnsi"/>
        </w:rPr>
        <w:t xml:space="preserve"> and fact sheet will be made available, if requested.</w:t>
      </w:r>
    </w:p>
    <w:p w14:paraId="36B2BEE4" w14:textId="3E852FAC" w:rsidR="00873BB4" w:rsidRPr="009466F4" w:rsidRDefault="00873BB4" w:rsidP="009466F4">
      <w:pPr>
        <w:spacing w:after="0"/>
        <w:rPr>
          <w:rFonts w:asciiTheme="minorHAnsi" w:hAnsiTheme="minorHAnsi" w:cstheme="minorHAnsi"/>
          <w:b/>
          <w:bCs/>
        </w:rPr>
      </w:pPr>
      <w:r w:rsidRPr="009466F4">
        <w:rPr>
          <w:rFonts w:asciiTheme="minorHAnsi" w:hAnsiTheme="minorHAnsi" w:cstheme="minorHAnsi"/>
          <w:b/>
          <w:bCs/>
        </w:rPr>
        <w:t>Comment Period</w:t>
      </w:r>
    </w:p>
    <w:p w14:paraId="2D407EAF" w14:textId="716BE02A" w:rsidR="00873BB4" w:rsidRPr="00255317" w:rsidRDefault="00873BB4" w:rsidP="009466F4">
      <w:pPr>
        <w:spacing w:after="200"/>
        <w:rPr>
          <w:rFonts w:asciiTheme="minorHAnsi" w:hAnsiTheme="minorHAnsi" w:cstheme="minorHAnsi"/>
        </w:rPr>
      </w:pPr>
      <w:r w:rsidRPr="00255317">
        <w:rPr>
          <w:rFonts w:asciiTheme="minorHAnsi" w:hAnsiTheme="minorHAnsi" w:cstheme="minorHAnsi"/>
        </w:rPr>
        <w:t xml:space="preserve">The comment period will extend from </w:t>
      </w:r>
      <w:r w:rsidR="00E75CC7">
        <w:rPr>
          <w:rFonts w:asciiTheme="minorHAnsi" w:hAnsiTheme="minorHAnsi" w:cstheme="minorHAnsi"/>
        </w:rPr>
        <w:t>June 8,</w:t>
      </w:r>
      <w:r w:rsidRPr="00255317">
        <w:rPr>
          <w:rFonts w:asciiTheme="minorHAnsi" w:hAnsiTheme="minorHAnsi" w:cstheme="minorHAnsi"/>
        </w:rPr>
        <w:t xml:space="preserve"> </w:t>
      </w:r>
      <w:proofErr w:type="gramStart"/>
      <w:r w:rsidRPr="00255317">
        <w:rPr>
          <w:rFonts w:asciiTheme="minorHAnsi" w:hAnsiTheme="minorHAnsi" w:cstheme="minorHAnsi"/>
        </w:rPr>
        <w:t>2026</w:t>
      </w:r>
      <w:proofErr w:type="gramEnd"/>
      <w:r w:rsidRPr="00255317">
        <w:rPr>
          <w:rFonts w:asciiTheme="minorHAnsi" w:hAnsiTheme="minorHAnsi" w:cstheme="minorHAnsi"/>
        </w:rPr>
        <w:t xml:space="preserve"> to </w:t>
      </w:r>
      <w:r w:rsidR="00E75CC7">
        <w:rPr>
          <w:rFonts w:asciiTheme="minorHAnsi" w:hAnsiTheme="minorHAnsi" w:cstheme="minorHAnsi"/>
        </w:rPr>
        <w:t>July 13</w:t>
      </w:r>
      <w:r w:rsidRPr="00255317">
        <w:rPr>
          <w:rFonts w:asciiTheme="minorHAnsi" w:hAnsiTheme="minorHAnsi" w:cstheme="minorHAnsi"/>
        </w:rPr>
        <w:t>, 2026</w:t>
      </w:r>
      <w:r w:rsidR="00BB687E" w:rsidRPr="00255317">
        <w:rPr>
          <w:rFonts w:asciiTheme="minorHAnsi" w:hAnsiTheme="minorHAnsi" w:cstheme="minorHAnsi"/>
        </w:rPr>
        <w:t>.</w:t>
      </w:r>
    </w:p>
    <w:p w14:paraId="2FBE47A1" w14:textId="2B12D0EA" w:rsidR="00AD0AB5" w:rsidRPr="00255317" w:rsidRDefault="00AD0AB5" w:rsidP="009466F4">
      <w:pPr>
        <w:spacing w:after="0"/>
        <w:rPr>
          <w:rFonts w:asciiTheme="minorHAnsi" w:hAnsiTheme="minorHAnsi" w:cstheme="minorHAnsi"/>
          <w:b/>
          <w:bCs/>
        </w:rPr>
      </w:pPr>
      <w:r w:rsidRPr="00255317">
        <w:rPr>
          <w:rFonts w:asciiTheme="minorHAnsi" w:hAnsiTheme="minorHAnsi" w:cstheme="minorHAnsi"/>
          <w:b/>
          <w:bCs/>
        </w:rPr>
        <w:t>WRITTEN/EMAIL COMMENTS</w:t>
      </w:r>
    </w:p>
    <w:p w14:paraId="31CECB2C" w14:textId="2EBA63CF" w:rsidR="00AD0AB5" w:rsidRPr="00255317" w:rsidRDefault="00AD0AB5" w:rsidP="00AD0AB5">
      <w:pPr>
        <w:rPr>
          <w:rFonts w:asciiTheme="minorHAnsi" w:hAnsiTheme="minorHAnsi" w:cstheme="minorHAnsi"/>
          <w:bCs/>
        </w:rPr>
      </w:pPr>
      <w:r w:rsidRPr="00255317">
        <w:rPr>
          <w:rFonts w:asciiTheme="minorHAnsi" w:hAnsiTheme="minorHAnsi" w:cstheme="minorHAnsi"/>
          <w:bCs/>
        </w:rPr>
        <w:t xml:space="preserve">Comments must be submitted no later than </w:t>
      </w:r>
      <w:r w:rsidR="00E75CC7">
        <w:rPr>
          <w:rFonts w:asciiTheme="minorHAnsi" w:hAnsiTheme="minorHAnsi" w:cstheme="minorHAnsi"/>
          <w:bCs/>
        </w:rPr>
        <w:t>July 13</w:t>
      </w:r>
      <w:r w:rsidRPr="00255317">
        <w:rPr>
          <w:rFonts w:asciiTheme="minorHAnsi" w:hAnsiTheme="minorHAnsi" w:cstheme="minorHAnsi"/>
          <w:bCs/>
        </w:rPr>
        <w:t xml:space="preserve">, </w:t>
      </w:r>
      <w:proofErr w:type="gramStart"/>
      <w:r w:rsidRPr="00255317">
        <w:rPr>
          <w:rFonts w:asciiTheme="minorHAnsi" w:hAnsiTheme="minorHAnsi" w:cstheme="minorHAnsi"/>
          <w:bCs/>
        </w:rPr>
        <w:t>2026</w:t>
      </w:r>
      <w:proofErr w:type="gramEnd"/>
      <w:r w:rsidRPr="00255317">
        <w:rPr>
          <w:rFonts w:asciiTheme="minorHAnsi" w:hAnsiTheme="minorHAnsi" w:cstheme="minorHAnsi"/>
          <w:bCs/>
        </w:rPr>
        <w:t xml:space="preserve"> to:</w:t>
      </w:r>
    </w:p>
    <w:p w14:paraId="0FFCC34D" w14:textId="77777777" w:rsidR="00AD0AB5" w:rsidRPr="00255317" w:rsidRDefault="00AD0AB5" w:rsidP="00AD0AB5">
      <w:pPr>
        <w:tabs>
          <w:tab w:val="left" w:pos="5040"/>
        </w:tabs>
        <w:ind w:left="270"/>
        <w:rPr>
          <w:rFonts w:asciiTheme="minorHAnsi" w:hAnsiTheme="minorHAnsi" w:cstheme="minorHAnsi"/>
          <w:b/>
          <w:bCs/>
          <w:u w:val="single"/>
        </w:rPr>
      </w:pPr>
      <w:r w:rsidRPr="00255317">
        <w:rPr>
          <w:rFonts w:asciiTheme="minorHAnsi" w:hAnsiTheme="minorHAnsi" w:cstheme="minorHAnsi"/>
          <w:b/>
          <w:bCs/>
          <w:u w:val="single"/>
        </w:rPr>
        <w:t>MAIL</w:t>
      </w:r>
      <w:r w:rsidRPr="00255317">
        <w:rPr>
          <w:rFonts w:asciiTheme="minorHAnsi" w:hAnsiTheme="minorHAnsi" w:cstheme="minorHAnsi"/>
          <w:b/>
          <w:bCs/>
        </w:rPr>
        <w:tab/>
      </w:r>
      <w:r w:rsidRPr="00255317">
        <w:rPr>
          <w:rFonts w:asciiTheme="minorHAnsi" w:hAnsiTheme="minorHAnsi" w:cstheme="minorHAnsi"/>
          <w:b/>
          <w:bCs/>
          <w:u w:val="single"/>
        </w:rPr>
        <w:t>EMAIL</w:t>
      </w:r>
    </w:p>
    <w:p w14:paraId="6EDD260E" w14:textId="4196E4EF" w:rsidR="00AD0AB5" w:rsidRPr="00255317" w:rsidRDefault="00AD0AB5" w:rsidP="001D78E8">
      <w:pPr>
        <w:tabs>
          <w:tab w:val="left" w:pos="5040"/>
        </w:tabs>
        <w:spacing w:after="0"/>
        <w:ind w:left="270"/>
        <w:rPr>
          <w:rFonts w:asciiTheme="minorHAnsi" w:hAnsiTheme="minorHAnsi" w:cstheme="minorHAnsi"/>
          <w:bCs/>
        </w:rPr>
      </w:pPr>
      <w:r w:rsidRPr="00255317">
        <w:rPr>
          <w:rFonts w:asciiTheme="minorHAnsi" w:hAnsiTheme="minorHAnsi" w:cstheme="minorHAnsi"/>
          <w:bCs/>
        </w:rPr>
        <w:t>Ann M. Kron</w:t>
      </w:r>
      <w:r w:rsidRPr="00255317">
        <w:rPr>
          <w:rFonts w:asciiTheme="minorHAnsi" w:hAnsiTheme="minorHAnsi" w:cstheme="minorHAnsi"/>
          <w:bCs/>
        </w:rPr>
        <w:tab/>
      </w:r>
      <w:r w:rsidR="00C412DA">
        <w:rPr>
          <w:rFonts w:asciiTheme="minorHAnsi" w:hAnsiTheme="minorHAnsi" w:cstheme="minorHAnsi"/>
          <w:bCs/>
        </w:rPr>
        <w:t>deq</w:t>
      </w:r>
      <w:r w:rsidRPr="00255317">
        <w:rPr>
          <w:rFonts w:asciiTheme="minorHAnsi" w:hAnsiTheme="minorHAnsi" w:cstheme="minorHAnsi"/>
          <w:bCs/>
        </w:rPr>
        <w:t>hazwaste@mt.gov</w:t>
      </w:r>
    </w:p>
    <w:p w14:paraId="3509D30F" w14:textId="24EDEAB9" w:rsidR="00AD0AB5" w:rsidRPr="00255317" w:rsidRDefault="00AD0AB5" w:rsidP="001D78E8">
      <w:pPr>
        <w:tabs>
          <w:tab w:val="left" w:pos="5040"/>
        </w:tabs>
        <w:spacing w:after="0"/>
        <w:ind w:left="2160" w:hanging="1890"/>
        <w:rPr>
          <w:rFonts w:asciiTheme="minorHAnsi" w:hAnsiTheme="minorHAnsi" w:cstheme="minorHAnsi"/>
          <w:bCs/>
        </w:rPr>
      </w:pPr>
      <w:r w:rsidRPr="00255317">
        <w:rPr>
          <w:rFonts w:asciiTheme="minorHAnsi" w:hAnsiTheme="minorHAnsi" w:cstheme="minorHAnsi"/>
          <w:bCs/>
        </w:rPr>
        <w:t xml:space="preserve">Hazardous Waste </w:t>
      </w:r>
      <w:r w:rsidR="00C412DA">
        <w:rPr>
          <w:rFonts w:asciiTheme="minorHAnsi" w:hAnsiTheme="minorHAnsi" w:cstheme="minorHAnsi"/>
          <w:bCs/>
        </w:rPr>
        <w:t>Program</w:t>
      </w:r>
      <w:r w:rsidRPr="00255317">
        <w:rPr>
          <w:rFonts w:asciiTheme="minorHAnsi" w:hAnsiTheme="minorHAnsi" w:cstheme="minorHAnsi"/>
          <w:bCs/>
        </w:rPr>
        <w:tab/>
        <w:t xml:space="preserve">subject line: LPI Facility-Wide Corrective Action Completion </w:t>
      </w:r>
    </w:p>
    <w:p w14:paraId="54F2B68C" w14:textId="77777777" w:rsidR="00AD0AB5" w:rsidRPr="00255317" w:rsidRDefault="00AD0AB5" w:rsidP="001D78E8">
      <w:pPr>
        <w:spacing w:after="0"/>
        <w:ind w:left="270"/>
        <w:rPr>
          <w:rFonts w:asciiTheme="minorHAnsi" w:hAnsiTheme="minorHAnsi" w:cstheme="minorHAnsi"/>
          <w:bCs/>
        </w:rPr>
      </w:pPr>
      <w:r w:rsidRPr="00255317">
        <w:rPr>
          <w:rFonts w:asciiTheme="minorHAnsi" w:hAnsiTheme="minorHAnsi" w:cstheme="minorHAnsi"/>
          <w:bCs/>
        </w:rPr>
        <w:t>Montana Department of Environmental Quality</w:t>
      </w:r>
    </w:p>
    <w:p w14:paraId="7E51F95D" w14:textId="77777777" w:rsidR="00AD0AB5" w:rsidRPr="00255317" w:rsidRDefault="00AD0AB5" w:rsidP="001D78E8">
      <w:pPr>
        <w:spacing w:after="0"/>
        <w:ind w:left="270"/>
        <w:rPr>
          <w:rFonts w:asciiTheme="minorHAnsi" w:hAnsiTheme="minorHAnsi" w:cstheme="minorHAnsi"/>
          <w:bCs/>
        </w:rPr>
      </w:pPr>
      <w:r w:rsidRPr="00255317">
        <w:rPr>
          <w:rFonts w:asciiTheme="minorHAnsi" w:hAnsiTheme="minorHAnsi" w:cstheme="minorHAnsi"/>
          <w:bCs/>
        </w:rPr>
        <w:t>PO BOX 200901</w:t>
      </w:r>
    </w:p>
    <w:p w14:paraId="29D86331" w14:textId="77777777" w:rsidR="00AD0AB5" w:rsidRPr="00255317" w:rsidRDefault="00AD0AB5" w:rsidP="009466F4">
      <w:pPr>
        <w:spacing w:after="200"/>
        <w:ind w:left="270"/>
        <w:rPr>
          <w:rFonts w:asciiTheme="minorHAnsi" w:hAnsiTheme="minorHAnsi" w:cstheme="minorHAnsi"/>
          <w:bCs/>
        </w:rPr>
      </w:pPr>
      <w:r w:rsidRPr="00255317">
        <w:rPr>
          <w:rFonts w:asciiTheme="minorHAnsi" w:hAnsiTheme="minorHAnsi" w:cstheme="minorHAnsi"/>
          <w:bCs/>
        </w:rPr>
        <w:t>Helena, MT 59620-0901</w:t>
      </w:r>
    </w:p>
    <w:p w14:paraId="66769303" w14:textId="77777777" w:rsidR="00AD0AB5" w:rsidRPr="00255317" w:rsidRDefault="00AD0AB5" w:rsidP="009466F4">
      <w:pPr>
        <w:spacing w:after="0"/>
        <w:rPr>
          <w:rFonts w:asciiTheme="minorHAnsi" w:hAnsiTheme="minorHAnsi" w:cstheme="minorHAnsi"/>
          <w:b/>
          <w:bCs/>
          <w:iCs/>
        </w:rPr>
      </w:pPr>
      <w:r w:rsidRPr="00255317">
        <w:rPr>
          <w:rFonts w:asciiTheme="minorHAnsi" w:hAnsiTheme="minorHAnsi" w:cstheme="minorHAnsi"/>
          <w:b/>
          <w:bCs/>
          <w:iCs/>
        </w:rPr>
        <w:t>DEQ’S PROCEDURE FOR REACHING FINAL DECISIONS</w:t>
      </w:r>
    </w:p>
    <w:p w14:paraId="6DF2C1B7" w14:textId="7BEADA83" w:rsidR="00AD0AB5" w:rsidRPr="00255317" w:rsidRDefault="00AD0AB5" w:rsidP="00AD0AB5">
      <w:pPr>
        <w:rPr>
          <w:rFonts w:asciiTheme="minorHAnsi" w:hAnsiTheme="minorHAnsi" w:cstheme="minorHAnsi"/>
          <w:bCs/>
          <w:iCs/>
        </w:rPr>
      </w:pPr>
      <w:r w:rsidRPr="00255317">
        <w:rPr>
          <w:rFonts w:asciiTheme="minorHAnsi" w:hAnsiTheme="minorHAnsi" w:cstheme="minorHAnsi"/>
          <w:bCs/>
          <w:iCs/>
        </w:rPr>
        <w:t xml:space="preserve">DEQ will prepare a response to comments.  The response to comments will explain any changes to </w:t>
      </w:r>
      <w:r w:rsidR="00302124" w:rsidRPr="00255317">
        <w:rPr>
          <w:rFonts w:asciiTheme="minorHAnsi" w:hAnsiTheme="minorHAnsi" w:cstheme="minorHAnsi"/>
          <w:bCs/>
          <w:iCs/>
        </w:rPr>
        <w:t>the required corrective measures at the site.</w:t>
      </w:r>
    </w:p>
    <w:p w14:paraId="7F68A4C5" w14:textId="2D18076F" w:rsidR="00AD0AB5" w:rsidRPr="00255317" w:rsidRDefault="00AD0AB5" w:rsidP="009466F4">
      <w:pPr>
        <w:spacing w:after="200"/>
        <w:rPr>
          <w:rFonts w:asciiTheme="minorHAnsi" w:hAnsiTheme="minorHAnsi" w:cstheme="minorHAnsi"/>
        </w:rPr>
      </w:pPr>
      <w:r w:rsidRPr="00255317">
        <w:rPr>
          <w:rFonts w:asciiTheme="minorHAnsi" w:hAnsiTheme="minorHAnsi" w:cstheme="minorHAnsi"/>
          <w:bCs/>
          <w:iCs/>
        </w:rPr>
        <w:t xml:space="preserve">DEQ will then make a final decision to </w:t>
      </w:r>
      <w:r w:rsidR="00302124" w:rsidRPr="00255317">
        <w:rPr>
          <w:rFonts w:asciiTheme="minorHAnsi" w:hAnsiTheme="minorHAnsi" w:cstheme="minorHAnsi"/>
          <w:bCs/>
          <w:iCs/>
        </w:rPr>
        <w:t>approve</w:t>
      </w:r>
      <w:r w:rsidRPr="00255317">
        <w:rPr>
          <w:rFonts w:asciiTheme="minorHAnsi" w:hAnsiTheme="minorHAnsi" w:cstheme="minorHAnsi"/>
          <w:bCs/>
          <w:iCs/>
        </w:rPr>
        <w:t xml:space="preserve"> or deny the </w:t>
      </w:r>
      <w:r w:rsidR="00302124" w:rsidRPr="00255317">
        <w:rPr>
          <w:rFonts w:asciiTheme="minorHAnsi" w:hAnsiTheme="minorHAnsi" w:cstheme="minorHAnsi"/>
          <w:bCs/>
          <w:iCs/>
        </w:rPr>
        <w:t>determination that facility-wide corrective action is complete</w:t>
      </w:r>
      <w:r w:rsidRPr="00255317">
        <w:rPr>
          <w:rFonts w:asciiTheme="minorHAnsi" w:hAnsiTheme="minorHAnsi" w:cstheme="minorHAnsi"/>
          <w:bCs/>
          <w:iCs/>
        </w:rPr>
        <w:t xml:space="preserve">.  After DEQ makes its final decision, notice will be given to </w:t>
      </w:r>
      <w:r w:rsidR="00302124" w:rsidRPr="00255317">
        <w:rPr>
          <w:rFonts w:asciiTheme="minorHAnsi" w:hAnsiTheme="minorHAnsi" w:cstheme="minorHAnsi"/>
          <w:bCs/>
          <w:iCs/>
        </w:rPr>
        <w:t>LPI</w:t>
      </w:r>
      <w:r w:rsidRPr="00255317">
        <w:rPr>
          <w:rFonts w:asciiTheme="minorHAnsi" w:hAnsiTheme="minorHAnsi" w:cstheme="minorHAnsi"/>
          <w:bCs/>
          <w:iCs/>
        </w:rPr>
        <w:t xml:space="preserve"> and each person who submitted written comments or requested a notice of the final decision.  The final decision becomes effective 30 days after notice of the decision, unless a later date is specified.  If no written comments are received, the final </w:t>
      </w:r>
      <w:r w:rsidR="00410AE4" w:rsidRPr="00255317">
        <w:rPr>
          <w:rFonts w:asciiTheme="minorHAnsi" w:hAnsiTheme="minorHAnsi" w:cstheme="minorHAnsi"/>
          <w:bCs/>
          <w:iCs/>
        </w:rPr>
        <w:t>decision</w:t>
      </w:r>
      <w:r w:rsidRPr="00255317">
        <w:rPr>
          <w:rFonts w:asciiTheme="minorHAnsi" w:hAnsiTheme="minorHAnsi" w:cstheme="minorHAnsi"/>
          <w:bCs/>
          <w:iCs/>
        </w:rPr>
        <w:t xml:space="preserve"> becomes effective immediately upon notice </w:t>
      </w:r>
      <w:r w:rsidR="00410AE4" w:rsidRPr="00255317">
        <w:rPr>
          <w:rFonts w:asciiTheme="minorHAnsi" w:hAnsiTheme="minorHAnsi" w:cstheme="minorHAnsi"/>
          <w:bCs/>
          <w:iCs/>
        </w:rPr>
        <w:t>from DEQ</w:t>
      </w:r>
      <w:r w:rsidRPr="00255317">
        <w:rPr>
          <w:rFonts w:asciiTheme="minorHAnsi" w:hAnsiTheme="minorHAnsi" w:cstheme="minorHAnsi"/>
          <w:bCs/>
          <w:iCs/>
        </w:rPr>
        <w:t>.</w:t>
      </w:r>
    </w:p>
    <w:p w14:paraId="6EC595D4" w14:textId="77777777" w:rsidR="00AD0AB5" w:rsidRPr="00255317" w:rsidRDefault="00AD0AB5" w:rsidP="009466F4">
      <w:pPr>
        <w:spacing w:after="0"/>
        <w:rPr>
          <w:rFonts w:asciiTheme="minorHAnsi" w:hAnsiTheme="minorHAnsi" w:cstheme="minorHAnsi"/>
          <w:b/>
          <w:bCs/>
        </w:rPr>
      </w:pPr>
      <w:r w:rsidRPr="00255317">
        <w:rPr>
          <w:rFonts w:asciiTheme="minorHAnsi" w:hAnsiTheme="minorHAnsi" w:cstheme="minorHAnsi"/>
          <w:b/>
          <w:bCs/>
        </w:rPr>
        <w:t>FOR MORE INFORMATION</w:t>
      </w:r>
    </w:p>
    <w:p w14:paraId="2D11C759" w14:textId="77777777" w:rsidR="00AD0AB5" w:rsidRPr="00255317" w:rsidRDefault="00AD0AB5" w:rsidP="00AD0AB5">
      <w:pPr>
        <w:rPr>
          <w:rFonts w:asciiTheme="minorHAnsi" w:hAnsiTheme="minorHAnsi" w:cstheme="minorHAnsi"/>
        </w:rPr>
      </w:pPr>
      <w:r w:rsidRPr="00255317">
        <w:rPr>
          <w:rFonts w:asciiTheme="minorHAnsi" w:hAnsiTheme="minorHAnsi" w:cstheme="minorHAnsi"/>
        </w:rPr>
        <w:t xml:space="preserve">If you need further information, please contact Ann M. Kron at the address listed above, or at 406-444-5824, or </w:t>
      </w:r>
      <w:hyperlink r:id="rId9" w:history="1">
        <w:r w:rsidRPr="00255317">
          <w:rPr>
            <w:rStyle w:val="Hyperlink"/>
            <w:rFonts w:asciiTheme="minorHAnsi" w:hAnsiTheme="minorHAnsi" w:cstheme="minorHAnsi"/>
          </w:rPr>
          <w:t>akron@mt.gov</w:t>
        </w:r>
      </w:hyperlink>
      <w:r w:rsidRPr="00255317">
        <w:rPr>
          <w:rFonts w:asciiTheme="minorHAnsi" w:hAnsiTheme="minorHAnsi" w:cstheme="minorHAnsi"/>
        </w:rPr>
        <w:t>.</w:t>
      </w:r>
    </w:p>
    <w:p w14:paraId="1E197960" w14:textId="77777777" w:rsidR="00AD0AB5" w:rsidRPr="00255317" w:rsidRDefault="00AD0AB5" w:rsidP="00AD0AB5">
      <w:pPr>
        <w:rPr>
          <w:rFonts w:asciiTheme="minorHAnsi" w:hAnsiTheme="minorHAnsi" w:cstheme="minorHAnsi"/>
        </w:rPr>
      </w:pPr>
    </w:p>
    <w:p w14:paraId="25C272E3" w14:textId="77777777" w:rsidR="00AD0AB5" w:rsidRDefault="00AD0AB5">
      <w:pPr>
        <w:rPr>
          <w:rFonts w:asciiTheme="minorHAnsi" w:hAnsiTheme="minorHAnsi" w:cstheme="minorHAnsi"/>
        </w:rPr>
      </w:pPr>
    </w:p>
    <w:p w14:paraId="3C6D9B36" w14:textId="77777777" w:rsidR="00632558" w:rsidRPr="00632558" w:rsidRDefault="00632558" w:rsidP="00632558">
      <w:pPr>
        <w:rPr>
          <w:rFonts w:asciiTheme="minorHAnsi" w:hAnsiTheme="minorHAnsi" w:cstheme="minorHAnsi"/>
        </w:rPr>
      </w:pPr>
    </w:p>
    <w:p w14:paraId="1139CBF4" w14:textId="77777777" w:rsidR="00632558" w:rsidRPr="00632558" w:rsidRDefault="00632558" w:rsidP="00632558">
      <w:pPr>
        <w:rPr>
          <w:rFonts w:asciiTheme="minorHAnsi" w:hAnsiTheme="minorHAnsi" w:cstheme="minorHAnsi"/>
        </w:rPr>
      </w:pPr>
    </w:p>
    <w:p w14:paraId="734B5C30" w14:textId="77777777" w:rsidR="00632558" w:rsidRPr="00632558" w:rsidRDefault="00632558" w:rsidP="00632558">
      <w:pPr>
        <w:rPr>
          <w:rFonts w:asciiTheme="minorHAnsi" w:hAnsiTheme="minorHAnsi" w:cstheme="minorHAnsi"/>
        </w:rPr>
      </w:pPr>
    </w:p>
    <w:p w14:paraId="3B320CD9" w14:textId="77777777" w:rsidR="00632558" w:rsidRPr="00632558" w:rsidRDefault="00632558" w:rsidP="00632558">
      <w:pPr>
        <w:rPr>
          <w:rFonts w:asciiTheme="minorHAnsi" w:hAnsiTheme="minorHAnsi" w:cstheme="minorHAnsi"/>
        </w:rPr>
      </w:pPr>
    </w:p>
    <w:p w14:paraId="14FCE9D8" w14:textId="77777777" w:rsidR="00632558" w:rsidRPr="00632558" w:rsidRDefault="00632558" w:rsidP="00632558">
      <w:pPr>
        <w:rPr>
          <w:rFonts w:asciiTheme="minorHAnsi" w:hAnsiTheme="minorHAnsi" w:cstheme="minorHAnsi"/>
        </w:rPr>
      </w:pPr>
    </w:p>
    <w:p w14:paraId="36717F48" w14:textId="77777777" w:rsidR="00632558" w:rsidRDefault="00632558" w:rsidP="00632558">
      <w:pPr>
        <w:rPr>
          <w:rFonts w:asciiTheme="minorHAnsi" w:hAnsiTheme="minorHAnsi" w:cstheme="minorHAnsi"/>
        </w:rPr>
      </w:pPr>
    </w:p>
    <w:p w14:paraId="40900E29" w14:textId="77777777" w:rsidR="00632558" w:rsidRDefault="00632558" w:rsidP="00632558">
      <w:pPr>
        <w:rPr>
          <w:rFonts w:asciiTheme="minorHAnsi" w:hAnsiTheme="minorHAnsi" w:cstheme="minorHAnsi"/>
        </w:rPr>
      </w:pPr>
    </w:p>
    <w:p w14:paraId="4179135B" w14:textId="77777777" w:rsidR="00632558" w:rsidRPr="00632558" w:rsidRDefault="00632558" w:rsidP="00632558">
      <w:pPr>
        <w:rPr>
          <w:rFonts w:asciiTheme="minorHAnsi" w:hAnsiTheme="minorHAnsi" w:cstheme="minorHAnsi"/>
        </w:rPr>
      </w:pPr>
    </w:p>
    <w:p w14:paraId="5972CA0E" w14:textId="77777777" w:rsidR="00632558" w:rsidRPr="00632558" w:rsidRDefault="00632558" w:rsidP="00632558">
      <w:pPr>
        <w:rPr>
          <w:rFonts w:asciiTheme="minorHAnsi" w:hAnsiTheme="minorHAnsi" w:cstheme="minorHAnsi"/>
        </w:rPr>
      </w:pPr>
    </w:p>
    <w:p w14:paraId="58AD0FAE" w14:textId="77777777" w:rsidR="00632558" w:rsidRPr="00632558" w:rsidRDefault="00632558" w:rsidP="00632558">
      <w:pPr>
        <w:rPr>
          <w:rFonts w:asciiTheme="minorHAnsi" w:hAnsiTheme="minorHAnsi" w:cstheme="minorHAnsi"/>
        </w:rPr>
      </w:pPr>
    </w:p>
    <w:p w14:paraId="57D57C0B" w14:textId="77777777" w:rsidR="00632558" w:rsidRPr="00632558" w:rsidRDefault="00632558" w:rsidP="00632558">
      <w:pPr>
        <w:rPr>
          <w:rFonts w:asciiTheme="minorHAnsi" w:hAnsiTheme="minorHAnsi" w:cstheme="minorHAnsi"/>
        </w:rPr>
      </w:pPr>
    </w:p>
    <w:p w14:paraId="302D1A1F" w14:textId="77777777" w:rsidR="00632558" w:rsidRPr="00632558" w:rsidRDefault="00632558" w:rsidP="00632558">
      <w:pPr>
        <w:rPr>
          <w:rFonts w:asciiTheme="minorHAnsi" w:hAnsiTheme="minorHAnsi" w:cstheme="minorHAnsi"/>
        </w:rPr>
      </w:pPr>
    </w:p>
    <w:p w14:paraId="0D79F449" w14:textId="77777777" w:rsidR="00632558" w:rsidRPr="00632558" w:rsidRDefault="00632558" w:rsidP="00632558">
      <w:pPr>
        <w:rPr>
          <w:rFonts w:asciiTheme="minorHAnsi" w:hAnsiTheme="minorHAnsi" w:cstheme="minorHAnsi"/>
        </w:rPr>
      </w:pPr>
    </w:p>
    <w:p w14:paraId="214417C4" w14:textId="77777777" w:rsidR="00632558" w:rsidRPr="00632558" w:rsidRDefault="00632558" w:rsidP="00632558">
      <w:pPr>
        <w:rPr>
          <w:rFonts w:asciiTheme="minorHAnsi" w:hAnsiTheme="minorHAnsi" w:cstheme="minorHAnsi"/>
        </w:rPr>
      </w:pPr>
    </w:p>
    <w:p w14:paraId="452A96C5" w14:textId="77777777" w:rsidR="00632558" w:rsidRPr="00632558" w:rsidRDefault="00632558" w:rsidP="00632558">
      <w:pPr>
        <w:rPr>
          <w:rFonts w:asciiTheme="minorHAnsi" w:hAnsiTheme="minorHAnsi" w:cstheme="minorHAnsi"/>
        </w:rPr>
      </w:pPr>
    </w:p>
    <w:p w14:paraId="6D3E8B26" w14:textId="77777777" w:rsidR="00632558" w:rsidRPr="00632558" w:rsidRDefault="00632558" w:rsidP="00632558">
      <w:pPr>
        <w:rPr>
          <w:rFonts w:asciiTheme="minorHAnsi" w:hAnsiTheme="minorHAnsi" w:cstheme="minorHAnsi"/>
        </w:rPr>
      </w:pPr>
    </w:p>
    <w:p w14:paraId="5C99A718" w14:textId="77777777" w:rsidR="00632558" w:rsidRPr="00632558" w:rsidRDefault="00632558" w:rsidP="00632558">
      <w:pPr>
        <w:rPr>
          <w:rFonts w:asciiTheme="minorHAnsi" w:hAnsiTheme="minorHAnsi" w:cstheme="minorHAnsi"/>
        </w:rPr>
      </w:pPr>
    </w:p>
    <w:p w14:paraId="204CD93C" w14:textId="77777777" w:rsidR="00632558" w:rsidRPr="00632558" w:rsidRDefault="00632558" w:rsidP="00632558">
      <w:pPr>
        <w:rPr>
          <w:rFonts w:asciiTheme="minorHAnsi" w:hAnsiTheme="minorHAnsi" w:cstheme="minorHAnsi"/>
        </w:rPr>
      </w:pPr>
    </w:p>
    <w:p w14:paraId="2AF7CF86" w14:textId="77777777" w:rsidR="00632558" w:rsidRPr="00632558" w:rsidRDefault="00632558" w:rsidP="00632558">
      <w:pPr>
        <w:rPr>
          <w:rFonts w:asciiTheme="minorHAnsi" w:hAnsiTheme="minorHAnsi" w:cstheme="minorHAnsi"/>
        </w:rPr>
      </w:pPr>
    </w:p>
    <w:p w14:paraId="79237041" w14:textId="77777777" w:rsidR="00632558" w:rsidRPr="00632558" w:rsidRDefault="00632558" w:rsidP="00632558">
      <w:pPr>
        <w:rPr>
          <w:rFonts w:asciiTheme="minorHAnsi" w:hAnsiTheme="minorHAnsi" w:cstheme="minorHAnsi"/>
        </w:rPr>
      </w:pPr>
    </w:p>
    <w:p w14:paraId="28F9FCEF" w14:textId="77777777" w:rsidR="00632558" w:rsidRPr="00632558" w:rsidRDefault="00632558" w:rsidP="00632558">
      <w:pPr>
        <w:rPr>
          <w:rFonts w:asciiTheme="minorHAnsi" w:hAnsiTheme="minorHAnsi" w:cstheme="minorHAnsi"/>
        </w:rPr>
      </w:pPr>
    </w:p>
    <w:p w14:paraId="70D9722A" w14:textId="77777777" w:rsidR="00632558" w:rsidRPr="00632558" w:rsidRDefault="00632558" w:rsidP="00632558">
      <w:pPr>
        <w:rPr>
          <w:rFonts w:asciiTheme="minorHAnsi" w:hAnsiTheme="minorHAnsi" w:cstheme="minorHAnsi"/>
        </w:rPr>
      </w:pPr>
    </w:p>
    <w:p w14:paraId="7F276D32" w14:textId="77777777" w:rsidR="00632558" w:rsidRPr="00632558" w:rsidRDefault="00632558" w:rsidP="00632558">
      <w:pPr>
        <w:rPr>
          <w:rFonts w:asciiTheme="minorHAnsi" w:hAnsiTheme="minorHAnsi" w:cstheme="minorHAnsi"/>
        </w:rPr>
      </w:pPr>
    </w:p>
    <w:p w14:paraId="402CE8CA" w14:textId="77777777" w:rsidR="00632558" w:rsidRPr="00632558" w:rsidRDefault="00632558" w:rsidP="00632558">
      <w:pPr>
        <w:rPr>
          <w:rFonts w:asciiTheme="minorHAnsi" w:hAnsiTheme="minorHAnsi" w:cstheme="minorHAnsi"/>
        </w:rPr>
      </w:pPr>
    </w:p>
    <w:p w14:paraId="03F4DB19" w14:textId="77777777" w:rsidR="00632558" w:rsidRPr="00632558" w:rsidRDefault="00632558" w:rsidP="00632558">
      <w:pPr>
        <w:rPr>
          <w:rFonts w:asciiTheme="minorHAnsi" w:hAnsiTheme="minorHAnsi" w:cstheme="minorHAnsi"/>
        </w:rPr>
      </w:pPr>
    </w:p>
    <w:p w14:paraId="25B78AFA" w14:textId="77777777" w:rsidR="00632558" w:rsidRPr="00632558" w:rsidRDefault="00632558" w:rsidP="00632558">
      <w:pPr>
        <w:rPr>
          <w:rFonts w:asciiTheme="minorHAnsi" w:hAnsiTheme="minorHAnsi" w:cstheme="minorHAnsi"/>
        </w:rPr>
      </w:pPr>
    </w:p>
    <w:p w14:paraId="07C934E4" w14:textId="77777777" w:rsidR="00632558" w:rsidRPr="00632558" w:rsidRDefault="00632558" w:rsidP="00632558">
      <w:pPr>
        <w:rPr>
          <w:rFonts w:asciiTheme="minorHAnsi" w:hAnsiTheme="minorHAnsi" w:cstheme="minorHAnsi"/>
        </w:rPr>
      </w:pPr>
    </w:p>
    <w:p w14:paraId="636B67C6" w14:textId="77777777" w:rsidR="00632558" w:rsidRPr="00632558" w:rsidRDefault="00632558" w:rsidP="00632558">
      <w:pPr>
        <w:rPr>
          <w:rFonts w:asciiTheme="minorHAnsi" w:hAnsiTheme="minorHAnsi" w:cstheme="minorHAnsi"/>
        </w:rPr>
      </w:pPr>
    </w:p>
    <w:p w14:paraId="011D74AD" w14:textId="77777777" w:rsidR="00632558" w:rsidRPr="00632558" w:rsidRDefault="00632558" w:rsidP="00632558">
      <w:pPr>
        <w:rPr>
          <w:rFonts w:asciiTheme="minorHAnsi" w:hAnsiTheme="minorHAnsi" w:cstheme="minorHAnsi"/>
        </w:rPr>
      </w:pPr>
    </w:p>
    <w:p w14:paraId="5E9156BB" w14:textId="77777777" w:rsidR="00632558" w:rsidRPr="00632558" w:rsidRDefault="00632558" w:rsidP="00632558">
      <w:pPr>
        <w:rPr>
          <w:rFonts w:asciiTheme="minorHAnsi" w:hAnsiTheme="minorHAnsi" w:cstheme="minorHAnsi"/>
        </w:rPr>
      </w:pPr>
    </w:p>
    <w:p w14:paraId="40F18404" w14:textId="77777777" w:rsidR="00632558" w:rsidRPr="00632558" w:rsidRDefault="00632558" w:rsidP="00632558">
      <w:pPr>
        <w:rPr>
          <w:rFonts w:asciiTheme="minorHAnsi" w:hAnsiTheme="minorHAnsi" w:cstheme="minorHAnsi"/>
        </w:rPr>
      </w:pPr>
    </w:p>
    <w:p w14:paraId="3535C486" w14:textId="77777777" w:rsidR="00632558" w:rsidRPr="00632558" w:rsidRDefault="00632558" w:rsidP="00632558">
      <w:pPr>
        <w:rPr>
          <w:rFonts w:asciiTheme="minorHAnsi" w:hAnsiTheme="minorHAnsi" w:cstheme="minorHAnsi"/>
        </w:rPr>
      </w:pPr>
    </w:p>
    <w:p w14:paraId="0D2B2771" w14:textId="77777777" w:rsidR="00632558" w:rsidRPr="00632558" w:rsidRDefault="00632558" w:rsidP="00632558">
      <w:pPr>
        <w:rPr>
          <w:rFonts w:asciiTheme="minorHAnsi" w:hAnsiTheme="minorHAnsi" w:cstheme="minorHAnsi"/>
        </w:rPr>
      </w:pPr>
    </w:p>
    <w:p w14:paraId="27893B1D" w14:textId="77777777" w:rsidR="00632558" w:rsidRPr="00632558" w:rsidRDefault="00632558" w:rsidP="00632558">
      <w:pPr>
        <w:rPr>
          <w:rFonts w:asciiTheme="minorHAnsi" w:hAnsiTheme="minorHAnsi" w:cstheme="minorHAnsi"/>
        </w:rPr>
      </w:pPr>
    </w:p>
    <w:p w14:paraId="595D67DD" w14:textId="77777777" w:rsidR="00632558" w:rsidRPr="00632558" w:rsidRDefault="00632558" w:rsidP="00632558">
      <w:pPr>
        <w:rPr>
          <w:rFonts w:asciiTheme="minorHAnsi" w:hAnsiTheme="minorHAnsi" w:cstheme="minorHAnsi"/>
        </w:rPr>
      </w:pPr>
    </w:p>
    <w:p w14:paraId="4690CD50" w14:textId="77777777" w:rsidR="00632558" w:rsidRDefault="00632558" w:rsidP="00632558">
      <w:pPr>
        <w:rPr>
          <w:rFonts w:asciiTheme="minorHAnsi" w:hAnsiTheme="minorHAnsi" w:cstheme="minorHAnsi"/>
        </w:rPr>
      </w:pPr>
    </w:p>
    <w:p w14:paraId="6617162C" w14:textId="1EBA89C0" w:rsidR="00632558" w:rsidRPr="00632558" w:rsidRDefault="00632558" w:rsidP="00632558">
      <w:pPr>
        <w:tabs>
          <w:tab w:val="left" w:pos="2520"/>
        </w:tabs>
        <w:rPr>
          <w:rFonts w:asciiTheme="minorHAnsi" w:hAnsiTheme="minorHAnsi" w:cstheme="minorHAnsi"/>
        </w:rPr>
      </w:pPr>
      <w:r>
        <w:rPr>
          <w:rFonts w:asciiTheme="minorHAnsi" w:hAnsiTheme="minorHAnsi" w:cstheme="minorHAnsi"/>
        </w:rPr>
        <w:tab/>
      </w:r>
    </w:p>
    <w:sectPr w:rsidR="00632558" w:rsidRPr="00632558" w:rsidSect="005431E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AC4E" w14:textId="77777777" w:rsidR="00B91A0B" w:rsidRDefault="00B91A0B" w:rsidP="00D87884">
      <w:pPr>
        <w:spacing w:after="0" w:line="240" w:lineRule="auto"/>
      </w:pPr>
      <w:r>
        <w:separator/>
      </w:r>
    </w:p>
  </w:endnote>
  <w:endnote w:type="continuationSeparator" w:id="0">
    <w:p w14:paraId="6C255011" w14:textId="77777777" w:rsidR="00B91A0B" w:rsidRDefault="00B91A0B" w:rsidP="00D8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952D" w14:textId="12D29D84" w:rsidR="00D87884" w:rsidRPr="00716E45" w:rsidRDefault="00D87884" w:rsidP="00411DF4">
    <w:pPr>
      <w:pStyle w:val="Footer"/>
      <w:spacing w:after="120"/>
    </w:pPr>
    <w:r w:rsidRPr="00716E45">
      <w:t>Fact Sheet</w:t>
    </w:r>
    <w:r w:rsidRPr="00716E45">
      <w:tab/>
    </w:r>
    <w:r>
      <w:t>Loveland Products, Inc.</w:t>
    </w:r>
    <w:r w:rsidRPr="00716E45">
      <w:tab/>
    </w:r>
    <w:r>
      <w:t>6/</w:t>
    </w:r>
    <w:r w:rsidR="00AB385C">
      <w:t>5</w:t>
    </w:r>
    <w:r>
      <w:t>/2026</w:t>
    </w:r>
  </w:p>
  <w:p w14:paraId="1E95542D" w14:textId="4A631961" w:rsidR="00D87884" w:rsidRDefault="00C24869" w:rsidP="00411DF4">
    <w:pPr>
      <w:pStyle w:val="Footer"/>
    </w:pPr>
    <w:r>
      <w:t>Facility-Wide Corrective Action Completion Determination</w:t>
    </w:r>
    <w:r w:rsidR="00411DF4">
      <w:tab/>
    </w:r>
    <w:r w:rsidR="00411DF4" w:rsidRPr="00716E45">
      <w:t xml:space="preserve">Page </w:t>
    </w:r>
    <w:r w:rsidR="00411DF4" w:rsidRPr="00716E45">
      <w:fldChar w:fldCharType="begin"/>
    </w:r>
    <w:r w:rsidR="00411DF4" w:rsidRPr="00716E45">
      <w:instrText xml:space="preserve"> PAGE  \* Arabic  \* MERGEFORMAT </w:instrText>
    </w:r>
    <w:r w:rsidR="00411DF4" w:rsidRPr="00716E45">
      <w:fldChar w:fldCharType="separate"/>
    </w:r>
    <w:r w:rsidR="00411DF4">
      <w:t>1</w:t>
    </w:r>
    <w:r w:rsidR="00411DF4" w:rsidRPr="00716E45">
      <w:fldChar w:fldCharType="end"/>
    </w:r>
    <w:r w:rsidR="00411DF4" w:rsidRPr="00716E45">
      <w:t xml:space="preserve"> of </w:t>
    </w:r>
    <w:fldSimple w:instr=" NUMPAGES  \* Arabic  \* MERGEFORMAT ">
      <w:r w:rsidR="00411DF4">
        <w:t>4</w:t>
      </w:r>
    </w:fldSimple>
    <w:r w:rsidR="00D87884" w:rsidRPr="00716E4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A6A2" w14:textId="77777777" w:rsidR="00B91A0B" w:rsidRDefault="00B91A0B" w:rsidP="00D87884">
      <w:pPr>
        <w:spacing w:after="0" w:line="240" w:lineRule="auto"/>
      </w:pPr>
      <w:r>
        <w:separator/>
      </w:r>
    </w:p>
  </w:footnote>
  <w:footnote w:type="continuationSeparator" w:id="0">
    <w:p w14:paraId="13790FD8" w14:textId="77777777" w:rsidR="00B91A0B" w:rsidRDefault="00B91A0B" w:rsidP="00D87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46E"/>
    <w:multiLevelType w:val="multilevel"/>
    <w:tmpl w:val="4AC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96832"/>
    <w:multiLevelType w:val="hybridMultilevel"/>
    <w:tmpl w:val="46C0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140421">
    <w:abstractNumId w:val="0"/>
  </w:num>
  <w:num w:numId="2" w16cid:durableId="53349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C6"/>
    <w:rsid w:val="000113CF"/>
    <w:rsid w:val="00094787"/>
    <w:rsid w:val="000C1C0F"/>
    <w:rsid w:val="000F3316"/>
    <w:rsid w:val="00135100"/>
    <w:rsid w:val="001A431C"/>
    <w:rsid w:val="001D78E8"/>
    <w:rsid w:val="00210D7D"/>
    <w:rsid w:val="00255317"/>
    <w:rsid w:val="00302124"/>
    <w:rsid w:val="003E2AE2"/>
    <w:rsid w:val="00410AE4"/>
    <w:rsid w:val="00411DF4"/>
    <w:rsid w:val="0042243E"/>
    <w:rsid w:val="00467798"/>
    <w:rsid w:val="00530C76"/>
    <w:rsid w:val="005431E4"/>
    <w:rsid w:val="00632558"/>
    <w:rsid w:val="00704545"/>
    <w:rsid w:val="00873BB4"/>
    <w:rsid w:val="0093257B"/>
    <w:rsid w:val="009466F4"/>
    <w:rsid w:val="00961EB6"/>
    <w:rsid w:val="00A37471"/>
    <w:rsid w:val="00AB385C"/>
    <w:rsid w:val="00AB5149"/>
    <w:rsid w:val="00AC2036"/>
    <w:rsid w:val="00AD0AB5"/>
    <w:rsid w:val="00B91A0B"/>
    <w:rsid w:val="00BB687E"/>
    <w:rsid w:val="00C24869"/>
    <w:rsid w:val="00C412DA"/>
    <w:rsid w:val="00CA07BC"/>
    <w:rsid w:val="00D1037D"/>
    <w:rsid w:val="00D87884"/>
    <w:rsid w:val="00DA35A1"/>
    <w:rsid w:val="00DD4E7A"/>
    <w:rsid w:val="00E0373C"/>
    <w:rsid w:val="00E24DD8"/>
    <w:rsid w:val="00E75CC7"/>
    <w:rsid w:val="00F222C6"/>
    <w:rsid w:val="00F25E11"/>
    <w:rsid w:val="00F56AEE"/>
    <w:rsid w:val="00F94DA1"/>
    <w:rsid w:val="00FA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72F0"/>
  <w15:chartTrackingRefBased/>
  <w15:docId w15:val="{894F23CB-D443-4A36-B02E-97440AA9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31C"/>
    <w:rPr>
      <w:color w:val="0563C1" w:themeColor="hyperlink"/>
      <w:u w:val="single"/>
    </w:rPr>
  </w:style>
  <w:style w:type="character" w:styleId="UnresolvedMention">
    <w:name w:val="Unresolved Mention"/>
    <w:basedOn w:val="DefaultParagraphFont"/>
    <w:uiPriority w:val="99"/>
    <w:semiHidden/>
    <w:unhideWhenUsed/>
    <w:rsid w:val="001A431C"/>
    <w:rPr>
      <w:color w:val="605E5C"/>
      <w:shd w:val="clear" w:color="auto" w:fill="E1DFDD"/>
    </w:rPr>
  </w:style>
  <w:style w:type="paragraph" w:styleId="ListParagraph">
    <w:name w:val="List Paragraph"/>
    <w:basedOn w:val="Normal"/>
    <w:uiPriority w:val="34"/>
    <w:qFormat/>
    <w:rsid w:val="00CA07BC"/>
    <w:pPr>
      <w:ind w:left="720"/>
      <w:contextualSpacing/>
    </w:pPr>
  </w:style>
  <w:style w:type="paragraph" w:styleId="Header">
    <w:name w:val="header"/>
    <w:basedOn w:val="Normal"/>
    <w:link w:val="HeaderChar"/>
    <w:uiPriority w:val="99"/>
    <w:unhideWhenUsed/>
    <w:rsid w:val="00D87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84"/>
  </w:style>
  <w:style w:type="paragraph" w:styleId="Footer">
    <w:name w:val="footer"/>
    <w:basedOn w:val="Normal"/>
    <w:link w:val="FooterChar"/>
    <w:unhideWhenUsed/>
    <w:rsid w:val="00D87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84"/>
  </w:style>
  <w:style w:type="paragraph" w:styleId="Revision">
    <w:name w:val="Revision"/>
    <w:hidden/>
    <w:uiPriority w:val="99"/>
    <w:semiHidden/>
    <w:rsid w:val="00094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924966">
      <w:bodyDiv w:val="1"/>
      <w:marLeft w:val="0"/>
      <w:marRight w:val="0"/>
      <w:marTop w:val="0"/>
      <w:marBottom w:val="0"/>
      <w:divBdr>
        <w:top w:val="none" w:sz="0" w:space="0" w:color="auto"/>
        <w:left w:val="none" w:sz="0" w:space="0" w:color="auto"/>
        <w:bottom w:val="none" w:sz="0" w:space="0" w:color="auto"/>
        <w:right w:val="none" w:sz="0" w:space="0" w:color="auto"/>
      </w:divBdr>
    </w:div>
    <w:div w:id="1482186177">
      <w:bodyDiv w:val="1"/>
      <w:marLeft w:val="0"/>
      <w:marRight w:val="0"/>
      <w:marTop w:val="0"/>
      <w:marBottom w:val="0"/>
      <w:divBdr>
        <w:top w:val="none" w:sz="0" w:space="0" w:color="auto"/>
        <w:left w:val="none" w:sz="0" w:space="0" w:color="auto"/>
        <w:bottom w:val="none" w:sz="0" w:space="0" w:color="auto"/>
        <w:right w:val="none" w:sz="0" w:space="0" w:color="auto"/>
      </w:divBdr>
    </w:div>
    <w:div w:id="1623343199">
      <w:bodyDiv w:val="1"/>
      <w:marLeft w:val="0"/>
      <w:marRight w:val="0"/>
      <w:marTop w:val="0"/>
      <w:marBottom w:val="0"/>
      <w:divBdr>
        <w:top w:val="none" w:sz="0" w:space="0" w:color="auto"/>
        <w:left w:val="none" w:sz="0" w:space="0" w:color="auto"/>
        <w:bottom w:val="none" w:sz="0" w:space="0" w:color="auto"/>
        <w:right w:val="none" w:sz="0" w:space="0" w:color="auto"/>
      </w:divBdr>
    </w:div>
    <w:div w:id="1701129927">
      <w:bodyDiv w:val="1"/>
      <w:marLeft w:val="0"/>
      <w:marRight w:val="0"/>
      <w:marTop w:val="0"/>
      <w:marBottom w:val="0"/>
      <w:divBdr>
        <w:top w:val="none" w:sz="0" w:space="0" w:color="auto"/>
        <w:left w:val="none" w:sz="0" w:space="0" w:color="auto"/>
        <w:bottom w:val="none" w:sz="0" w:space="0" w:color="auto"/>
        <w:right w:val="none" w:sz="0" w:space="0" w:color="auto"/>
      </w:divBdr>
    </w:div>
    <w:div w:id="2022196455">
      <w:bodyDiv w:val="1"/>
      <w:marLeft w:val="0"/>
      <w:marRight w:val="0"/>
      <w:marTop w:val="0"/>
      <w:marBottom w:val="0"/>
      <w:divBdr>
        <w:top w:val="none" w:sz="0" w:space="0" w:color="auto"/>
        <w:left w:val="none" w:sz="0" w:space="0" w:color="auto"/>
        <w:bottom w:val="none" w:sz="0" w:space="0" w:color="auto"/>
        <w:right w:val="none" w:sz="0" w:space="0" w:color="auto"/>
      </w:divBdr>
    </w:div>
    <w:div w:id="20315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q.mt.gov/Public/publiccom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kr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Kron, Ann</dc:creator>
  <cp:keywords/>
  <dc:description/>
  <cp:lastModifiedBy>Kron, Ann</cp:lastModifiedBy>
  <cp:revision>5</cp:revision>
  <cp:lastPrinted>2026-05-31T21:28:00Z</cp:lastPrinted>
  <dcterms:created xsi:type="dcterms:W3CDTF">2026-06-01T19:45:00Z</dcterms:created>
  <dcterms:modified xsi:type="dcterms:W3CDTF">2026-06-05T21:11:00Z</dcterms:modified>
</cp:coreProperties>
</file>